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Boosting Australia's national security by investing in stronger electronic attack capability through the advanced Growler | Defence Ministers</w:t>
      </w:r>
      <w:br/>
      <w:hyperlink r:id="rId7" w:history="1">
        <w:r>
          <w:rPr>
            <w:color w:val="2980b9"/>
            <w:u w:val="single"/>
          </w:rPr>
          <w:t xml:space="preserve">https://www.minister.defence.gov.au/media-releases/2023-02-06/boosting-australias-national-security-investing-stronger-electronic-attack-capability-through-advanced-growler</w:t>
        </w:r>
      </w:hyperlink>
    </w:p>
    <w:p>
      <w:pPr>
        <w:pStyle w:val="Heading1"/>
      </w:pPr>
      <w:bookmarkStart w:id="2" w:name="_Toc2"/>
      <w:r>
        <w:t>Article summary:</w:t>
      </w:r>
      <w:bookmarkEnd w:id="2"/>
    </w:p>
    <w:p>
      <w:pPr>
        <w:jc w:val="both"/>
      </w:pPr>
      <w:r>
        <w:rPr/>
        <w:t xml:space="preserve">1. The Albanese Government is investing in upgrades to the Royal Australian Airforce’s fleet of electronic aircraft and associated ranges, strengthening the nation’s electronic attack capability.</w:t>
      </w:r>
    </w:p>
    <w:p>
      <w:pPr>
        <w:jc w:val="both"/>
      </w:pPr>
      <w:r>
        <w:rPr/>
        <w:t xml:space="preserve">2. CEA Technologies has been awarded a $277 million contract to provide advanced capabilities for Australia’s electronic warfare ranges.</w:t>
      </w:r>
    </w:p>
    <w:p>
      <w:pPr>
        <w:jc w:val="both"/>
      </w:pPr>
      <w:r>
        <w:rPr/>
        <w:t xml:space="preserve">3. The project will ensure commonality with United States Navy aircraft and deliver leading edge technology for the RAAF to face an increasingly complex and uncertain strategic environment.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on the Albanese Government's investment in upgrading Australia's national security through stronger electronic attack capability. It also mentions CEA Technologies' $277 million contract to provide advanced capabilities for Australia's electronic warfare ranges, as well as the project's aim of ensuring commonality with US Navy aircraft. However, there are some potential biases that should be noted. For example, the article does not mention any potential risks or drawbacks associated with this investment, nor does it explore any counterarguments or present both sides of the issue equally. Additionally, there is no evidence provided to support some of the claims made in the article, such as that this project will deliver leading edge technology for the RAAF to face an increasingly complex and uncertain strategic environment. Furthermore, there is a promotional element to the article which could be seen as biased towards supporting this investment without exploring other options or considering possible risks or drawbacks associated with it.</w:t>
      </w:r>
    </w:p>
    <w:p>
      <w:pPr>
        <w:pStyle w:val="Heading1"/>
      </w:pPr>
      <w:bookmarkStart w:id="5" w:name="_Toc5"/>
      <w:r>
        <w:t>Topics for further research:</w:t>
      </w:r>
      <w:bookmarkEnd w:id="5"/>
    </w:p>
    <w:p>
      <w:pPr>
        <w:spacing w:after="0"/>
        <w:numPr>
          <w:ilvl w:val="0"/>
          <w:numId w:val="2"/>
        </w:numPr>
      </w:pPr>
      <w:r>
        <w:rPr/>
        <w:t xml:space="preserve">Risks associated with electronic warfare investment</w:t>
      </w:r>
    </w:p>
    <w:p>
      <w:pPr>
        <w:spacing w:after="0"/>
        <w:numPr>
          <w:ilvl w:val="0"/>
          <w:numId w:val="2"/>
        </w:numPr>
      </w:pPr>
      <w:r>
        <w:rPr/>
        <w:t xml:space="preserve">Counterarguments to electronic warfare investment</w:t>
      </w:r>
    </w:p>
    <w:p>
      <w:pPr>
        <w:spacing w:after="0"/>
        <w:numPr>
          <w:ilvl w:val="0"/>
          <w:numId w:val="2"/>
        </w:numPr>
      </w:pPr>
      <w:r>
        <w:rPr/>
        <w:t xml:space="preserve">Alternatives to electronic warfare investment</w:t>
      </w:r>
    </w:p>
    <w:p>
      <w:pPr>
        <w:spacing w:after="0"/>
        <w:numPr>
          <w:ilvl w:val="0"/>
          <w:numId w:val="2"/>
        </w:numPr>
      </w:pPr>
      <w:r>
        <w:rPr/>
        <w:t xml:space="preserve">Potential drawbacks of electronic warfare investment</w:t>
      </w:r>
    </w:p>
    <w:p>
      <w:pPr>
        <w:spacing w:after="0"/>
        <w:numPr>
          <w:ilvl w:val="0"/>
          <w:numId w:val="2"/>
        </w:numPr>
      </w:pPr>
      <w:r>
        <w:rPr/>
        <w:t xml:space="preserve">Impact of electronic warfare investment on national security</w:t>
      </w:r>
    </w:p>
    <w:p>
      <w:pPr>
        <w:numPr>
          <w:ilvl w:val="0"/>
          <w:numId w:val="2"/>
        </w:numPr>
      </w:pPr>
      <w:r>
        <w:rPr/>
        <w:t xml:space="preserve">US Navy aircraft commonality with Australia's electronic warfare ranges</w:t>
      </w:r>
    </w:p>
    <w:p>
      <w:pPr>
        <w:pStyle w:val="Heading1"/>
      </w:pPr>
      <w:bookmarkStart w:id="6" w:name="_Toc6"/>
      <w:r>
        <w:t>Report location:</w:t>
      </w:r>
      <w:bookmarkEnd w:id="6"/>
    </w:p>
    <w:p>
      <w:hyperlink r:id="rId8" w:history="1">
        <w:r>
          <w:rPr>
            <w:color w:val="2980b9"/>
            <w:u w:val="single"/>
          </w:rPr>
          <w:t xml:space="preserve">https://www.fullpicture.app/item/41cc9688e8d7099fa015d3d2dc7fc068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BF2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nister.defence.gov.au/media-releases/2023-02-06/boosting-australias-national-security-investing-stronger-electronic-attack-capability-through-advanced-growler" TargetMode="External"/><Relationship Id="rId8" Type="http://schemas.openxmlformats.org/officeDocument/2006/relationships/hyperlink" Target="https://www.fullpicture.app/item/41cc9688e8d7099fa015d3d2dc7fc0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2023-02-26T12:16:15+01:00</dcterms:created>
  <dcterms:modified xsi:type="dcterms:W3CDTF">2023-02-26T12:16:15+01:00</dcterms:modified>
</cp:coreProperties>
</file>

<file path=docProps/custom.xml><?xml version="1.0" encoding="utf-8"?>
<Properties xmlns="http://schemas.openxmlformats.org/officeDocument/2006/custom-properties" xmlns:vt="http://schemas.openxmlformats.org/officeDocument/2006/docPropsVTypes"/>
</file>