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 Firms, Long Arms, Wide Shoulders: The ‘Hub-and-Spoke’ Industrial District in the Seattle Region: Regional Studies: Vol 30, No 7</w:t>
      </w:r>
      <w:br/>
      <w:hyperlink r:id="rId7" w:history="1">
        <w:r>
          <w:rPr>
            <w:color w:val="2980b9"/>
            <w:u w:val="single"/>
          </w:rPr>
          <w:t xml:space="preserve">https://www.tandfonline.com/doi/abs/10.1080/00343409612331349948</w:t>
        </w:r>
      </w:hyperlink>
    </w:p>
    <w:p>
      <w:pPr>
        <w:pStyle w:val="Heading1"/>
      </w:pPr>
      <w:bookmarkStart w:id="2" w:name="_Toc2"/>
      <w:r>
        <w:t>Article summary:</w:t>
      </w:r>
      <w:bookmarkEnd w:id="2"/>
    </w:p>
    <w:p>
      <w:pPr>
        <w:jc w:val="both"/>
      </w:pPr>
      <w:r>
        <w:rPr/>
        <w:t xml:space="preserve">1. 快速发展的地区会出现不同类型的工业区结构，其中一种是“轮毂和辐条”形式，即一个行业及其供应商聚集在一个或几个核心公司周围。</w:t>
      </w:r>
    </w:p>
    <w:p>
      <w:pPr>
        <w:jc w:val="both"/>
      </w:pPr>
      <w:r>
        <w:rPr/>
        <w:t xml:space="preserve">2. “轮毂和辐条”工业区与灵活专业化工业区不同，其成功取决于主导公司的市场力量和策略，而非网络。</w:t>
      </w:r>
    </w:p>
    <w:p>
      <w:pPr>
        <w:jc w:val="both"/>
      </w:pPr>
      <w:r>
        <w:rPr/>
        <w:t xml:space="preserve">3. “轮毂和辐条”工业区能够产生高地区增长率和良好的收入分配，但可能使地区容易受到周期性和长期衰退以及新兴非竞争性部门的排挤。本文分析了西雅图地区作为一个“轮毂和辐条”工业区。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该文章提出了“Radnabe-und-Speichenform”（即“轮毂和辐条”）工业区的概念，并以西雅图地区为例进行了分析。然而，该文章存在一些偏见和不足之处。</w:t>
      </w:r>
    </w:p>
    <w:p>
      <w:pPr>
        <w:jc w:val="both"/>
      </w:pPr>
      <w:r>
        <w:rPr/>
        <w:t xml:space="preserve"/>
      </w:r>
    </w:p>
    <w:p>
      <w:pPr>
        <w:jc w:val="both"/>
      </w:pPr>
      <w:r>
        <w:rPr/>
        <w:t xml:space="preserve">首先，该文章似乎过于强调核心企业的市场力量和策略，而忽略了其他因素对工业区成功的影响。例如，供应链的效率、政府政策、人才流动等都可能对工业区的发展产生重要影响。</w:t>
      </w:r>
    </w:p>
    <w:p>
      <w:pPr>
        <w:jc w:val="both"/>
      </w:pPr>
      <w:r>
        <w:rPr/>
        <w:t xml:space="preserve"/>
      </w:r>
    </w:p>
    <w:p>
      <w:pPr>
        <w:jc w:val="both"/>
      </w:pPr>
      <w:r>
        <w:rPr/>
        <w:t xml:space="preserve">其次，该文章没有充分考虑到“轮毂和辐条”工业区可能面临的风险。例如，如果核心企业遭遇困境或衰退，整个工业区可能会受到影响。此外，由于缺乏多样性，这种工业区也可能无法适应新兴行业的发展。</w:t>
      </w:r>
    </w:p>
    <w:p>
      <w:pPr>
        <w:jc w:val="both"/>
      </w:pPr>
      <w:r>
        <w:rPr/>
        <w:t xml:space="preserve"/>
      </w:r>
    </w:p>
    <w:p>
      <w:pPr>
        <w:jc w:val="both"/>
      </w:pPr>
      <w:r>
        <w:rPr/>
        <w:t xml:space="preserve">此外，在描述“轮毂和辐条”工业区时，该文章似乎将其与“软专业化区”相对立。然而，在实际情况中，这两种类型并不是非黑即白的关系。许多工业区具有混合型结构，并同时具备核心企业和网络效应。</w:t>
      </w:r>
    </w:p>
    <w:p>
      <w:pPr>
        <w:jc w:val="both"/>
      </w:pPr>
      <w:r>
        <w:rPr/>
        <w:t xml:space="preserve"/>
      </w:r>
    </w:p>
    <w:p>
      <w:pPr>
        <w:jc w:val="both"/>
      </w:pPr>
      <w:r>
        <w:rPr/>
        <w:t xml:space="preserve">最后，在分析西雅图地区时，该文章没有平等地呈现双方观点。它似乎认为“轮毂和辐条”工业区是一种理想模式，并没有探讨其他可能存在的结构类型或其优缺点。</w:t>
      </w:r>
    </w:p>
    <w:p>
      <w:pPr>
        <w:jc w:val="both"/>
      </w:pPr>
      <w:r>
        <w:rPr/>
        <w:t xml:space="preserve"/>
      </w:r>
    </w:p>
    <w:p>
      <w:pPr>
        <w:jc w:val="both"/>
      </w:pPr>
      <w:r>
        <w:rPr/>
        <w:t xml:space="preserve">综上所述，尽管该文章提出了有趣的概念并进行了详细分析，但它也存在一些偏见和不足之处。未来研究需要更全面地考虑各种因素对工业区成功的影响，并探索不同类型之间的联系与差异。</w:t>
      </w:r>
    </w:p>
    <w:p>
      <w:pPr>
        <w:pStyle w:val="Heading1"/>
      </w:pPr>
      <w:bookmarkStart w:id="5" w:name="_Toc5"/>
      <w:r>
        <w:t>Topics for further research:</w:t>
      </w:r>
      <w:bookmarkEnd w:id="5"/>
    </w:p>
    <w:p>
      <w:pPr>
        <w:spacing w:after="0"/>
        <w:numPr>
          <w:ilvl w:val="0"/>
          <w:numId w:val="2"/>
        </w:numPr>
      </w:pPr>
      <w:r>
        <w:rPr/>
        <w:t xml:space="preserve">Other factors affecting industrial district success
</w:t>
      </w:r>
    </w:p>
    <w:p>
      <w:pPr>
        <w:spacing w:after="0"/>
        <w:numPr>
          <w:ilvl w:val="0"/>
          <w:numId w:val="2"/>
        </w:numPr>
      </w:pPr>
      <w:r>
        <w:rPr/>
        <w:t xml:space="preserve">Risks of hub-and-spoke industrial districts
</w:t>
      </w:r>
    </w:p>
    <w:p>
      <w:pPr>
        <w:spacing w:after="0"/>
        <w:numPr>
          <w:ilvl w:val="0"/>
          <w:numId w:val="2"/>
        </w:numPr>
      </w:pPr>
      <w:r>
        <w:rPr/>
        <w:t xml:space="preserve">Mixed-type industrial districts
</w:t>
      </w:r>
    </w:p>
    <w:p>
      <w:pPr>
        <w:spacing w:after="0"/>
        <w:numPr>
          <w:ilvl w:val="0"/>
          <w:numId w:val="2"/>
        </w:numPr>
      </w:pPr>
      <w:r>
        <w:rPr/>
        <w:t xml:space="preserve">Equal presentation of different industrial district structures
</w:t>
      </w:r>
    </w:p>
    <w:p>
      <w:pPr>
        <w:spacing w:after="0"/>
        <w:numPr>
          <w:ilvl w:val="0"/>
          <w:numId w:val="2"/>
        </w:numPr>
      </w:pPr>
      <w:r>
        <w:rPr/>
        <w:t xml:space="preserve">Comprehensive analysis of factors affecting industrial district success
</w:t>
      </w:r>
    </w:p>
    <w:p>
      <w:pPr>
        <w:numPr>
          <w:ilvl w:val="0"/>
          <w:numId w:val="2"/>
        </w:numPr>
      </w:pPr>
      <w:r>
        <w:rPr/>
        <w:t xml:space="preserve">Differences and connections between different industrial district types</w:t>
      </w:r>
    </w:p>
    <w:p>
      <w:pPr>
        <w:pStyle w:val="Heading1"/>
      </w:pPr>
      <w:bookmarkStart w:id="6" w:name="_Toc6"/>
      <w:r>
        <w:t>Report location:</w:t>
      </w:r>
      <w:bookmarkEnd w:id="6"/>
    </w:p>
    <w:p>
      <w:hyperlink r:id="rId8" w:history="1">
        <w:r>
          <w:rPr>
            <w:color w:val="2980b9"/>
            <w:u w:val="single"/>
          </w:rPr>
          <w:t xml:space="preserve">https://www.fullpicture.app/item/4210a1e2ddb26ce6ac11173b018ccabb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8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343409612331349948" TargetMode="External"/><Relationship Id="rId8" Type="http://schemas.openxmlformats.org/officeDocument/2006/relationships/hyperlink" Target="https://www.fullpicture.app/item/4210a1e2ddb26ce6ac11173b018cca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2023-12-05T11:53:41+01:00</dcterms:created>
  <dcterms:modified xsi:type="dcterms:W3CDTF">2023-12-05T11:53:41+01:00</dcterms:modified>
</cp:coreProperties>
</file>

<file path=docProps/custom.xml><?xml version="1.0" encoding="utf-8"?>
<Properties xmlns="http://schemas.openxmlformats.org/officeDocument/2006/custom-properties" xmlns:vt="http://schemas.openxmlformats.org/officeDocument/2006/docPropsVTypes"/>
</file>