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Community | Libraries &amp; Academic Innovation</w:t>
      </w:r>
      <w:br/>
      <w:hyperlink r:id="rId7" w:history="1">
        <w:r>
          <w:rPr>
            <w:color w:val="2980b9"/>
            <w:u w:val="single"/>
          </w:rPr>
          <w:t xml:space="preserve">https://library.gwu.edu/building-community</w:t>
        </w:r>
      </w:hyperlink>
    </w:p>
    <w:p>
      <w:pPr>
        <w:pStyle w:val="Heading1"/>
      </w:pPr>
      <w:bookmarkStart w:id="2" w:name="_Toc2"/>
      <w:r>
        <w:t>Article summary:</w:t>
      </w:r>
      <w:bookmarkEnd w:id="2"/>
    </w:p>
    <w:p>
      <w:pPr>
        <w:jc w:val="both"/>
      </w:pPr>
      <w:r>
        <w:rPr/>
        <w:t xml:space="preserve">1. Berbagai strategi sincron dan asinkron untuk membangun hubungan produktif antara mahasiswa dan dosen, serta mahasiswa dengan mahasiswa di kelas tatap muka dan online.</w:t>
      </w:r>
    </w:p>
    <w:p>
      <w:pPr>
        <w:jc w:val="both"/>
      </w:pPr>
      <w:r>
        <w:rPr/>
        <w:t xml:space="preserve">2. Cara untuk membuat lingkungan belajar yang inklusif, mengatur suasana yang produktif, mempromosikan kehadiran dan partisipasi mahasiswa, serta merancang strategi penilaian.</w:t>
      </w:r>
    </w:p>
    <w:p>
      <w:pPr>
        <w:jc w:val="both"/>
      </w:pPr>
      <w:r>
        <w:rPr/>
        <w:t xml:space="preserve">3. Sumber daya seperti buku Elizabeth Barkley tentang Teknik Partisipasi Mahasiswa, Dynamic Lecturing oleh Christine Harrington dan Todd Zakrajsek, serta Teaching and Learning in the Present Moment oleh K. Patricia Cross Academy yang dapat digunakan untuk mendukung pengalaman belajar yang kuat.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ini memberikan wawasan tentang cara membangun komunitas belajar yang kuat dan berdedikasi melalui berbagai strategi sincron dan asinkron di kelas tatap muka dan online. Artikel ini juga menyediakan sumber daya yang berguna untuk membuat lingkungan belajar yang inklusif, mengatur suasana produktif, mempromosikan kehadiran dan partisipasi mahasiswa, serta merancang strategi penilaian. </w:t>
      </w:r>
    </w:p>
    <w:p>
      <w:pPr>
        <w:jc w:val="both"/>
      </w:pPr>
      <w:r>
        <w:rPr/>
        <w:t xml:space="preserve">Artikel ini tidak ada potensi bias atau pelaporan sepihak; semua informasi disampaikan secara netral tanpa pandangan politik atau agama tertentu. Namun, artikel ini hanya menyoroti satu pendekatan saja untuk pembelajaran aktif; argumen lainnya tidak dijelaskan secara rinci. Selain itu, artikel ini tidak menghadirkan risiko apapun yang mungkin terkait dengan strategi-strategi tertentu; sehingga pembaca harus melakukan penelitian lebih lanjut untuk mengetahui risiko-risiko tersebut. </w:t>
      </w:r>
    </w:p>
    <w:p>
      <w:pPr>
        <w:jc w:val="both"/>
      </w:pPr>
      <w:r>
        <w:rPr/>
        <w:t xml:space="preserve">Kesimpulannya, artikel ini memberikan wawasan tentang cara membangun komunitas belajar yang kuat melalui berbagai strategi sincron dan asinkron di kelas tatap muka dan online; namun masih ada ruangan untuk lebih banyak argumen lainnya tentang pembelajaran aktif serta risiko-risiko potensial dari strategi-strategi tertentu.</w:t>
      </w:r>
    </w:p>
    <w:p>
      <w:pPr>
        <w:pStyle w:val="Heading1"/>
      </w:pPr>
      <w:bookmarkStart w:id="5" w:name="_Toc5"/>
      <w:r>
        <w:t>Topics for further research:</w:t>
      </w:r>
      <w:bookmarkEnd w:id="5"/>
    </w:p>
    <w:p>
      <w:pPr>
        <w:spacing w:after="0"/>
        <w:numPr>
          <w:ilvl w:val="0"/>
          <w:numId w:val="2"/>
        </w:numPr>
      </w:pPr>
      <w:r>
        <w:rPr/>
        <w:t xml:space="preserve">Strategi pembelajaran aktif lainnya</w:t>
      </w:r>
    </w:p>
    <w:p>
      <w:pPr>
        <w:spacing w:after="0"/>
        <w:numPr>
          <w:ilvl w:val="0"/>
          <w:numId w:val="2"/>
        </w:numPr>
      </w:pPr>
      <w:r>
        <w:rPr/>
        <w:t xml:space="preserve">Risiko strategi pembelajaran sincron</w:t>
      </w:r>
    </w:p>
    <w:p>
      <w:pPr>
        <w:spacing w:after="0"/>
        <w:numPr>
          <w:ilvl w:val="0"/>
          <w:numId w:val="2"/>
        </w:numPr>
      </w:pPr>
      <w:r>
        <w:rPr/>
        <w:t xml:space="preserve">Risiko strategi pembelajaran asinkron</w:t>
      </w:r>
    </w:p>
    <w:p>
      <w:pPr>
        <w:spacing w:after="0"/>
        <w:numPr>
          <w:ilvl w:val="0"/>
          <w:numId w:val="2"/>
        </w:numPr>
      </w:pPr>
      <w:r>
        <w:rPr/>
        <w:t xml:space="preserve">Cara membuat lingkungan belajar inklusif</w:t>
      </w:r>
    </w:p>
    <w:p>
      <w:pPr>
        <w:spacing w:after="0"/>
        <w:numPr>
          <w:ilvl w:val="0"/>
          <w:numId w:val="2"/>
        </w:numPr>
      </w:pPr>
      <w:r>
        <w:rPr/>
        <w:t xml:space="preserve">Cara mempromosikan kehadiran dan partisipasi mahasiswa</w:t>
      </w:r>
    </w:p>
    <w:p>
      <w:pPr>
        <w:numPr>
          <w:ilvl w:val="0"/>
          <w:numId w:val="2"/>
        </w:numPr>
      </w:pPr>
      <w:r>
        <w:rPr/>
        <w:t xml:space="preserve">Cara merancang strategi penilaian yang efektif</w:t>
      </w:r>
    </w:p>
    <w:p>
      <w:pPr>
        <w:pStyle w:val="Heading1"/>
      </w:pPr>
      <w:bookmarkStart w:id="6" w:name="_Toc6"/>
      <w:r>
        <w:t>Report location:</w:t>
      </w:r>
      <w:bookmarkEnd w:id="6"/>
    </w:p>
    <w:p>
      <w:hyperlink r:id="rId8" w:history="1">
        <w:r>
          <w:rPr>
            <w:color w:val="2980b9"/>
            <w:u w:val="single"/>
          </w:rPr>
          <w:t xml:space="preserve">https://www.fullpicture.app/item/43b5fdac717a355e72923bb6eaa613ce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D4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gwu.edu/building-community" TargetMode="External"/><Relationship Id="rId8" Type="http://schemas.openxmlformats.org/officeDocument/2006/relationships/hyperlink" Target="https://www.fullpicture.app/item/43b5fdac717a355e72923bb6eaa613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2023-02-24T10:01:50+01:00</dcterms:created>
  <dcterms:modified xsi:type="dcterms:W3CDTF">2023-02-24T10:01:50+01:00</dcterms:modified>
</cp:coreProperties>
</file>

<file path=docProps/custom.xml><?xml version="1.0" encoding="utf-8"?>
<Properties xmlns="http://schemas.openxmlformats.org/officeDocument/2006/custom-properties" xmlns:vt="http://schemas.openxmlformats.org/officeDocument/2006/docPropsVTypes"/>
</file>