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Boundary crossing: an experimental study of individual perceptions toward AIGC</w:t>
      </w:r>
      <w:br/>
      <w:hyperlink r:id="rId7" w:history="1">
        <w:r>
          <w:rPr>
            <w:color w:val="2980b9"/>
            <w:u w:val="single"/>
          </w:rPr>
          <w:t xml:space="preserve">https://webvpn.swu.edu.cn/https/537775736869676568616f78756565212aae45f5738f848fd84f2c400da4fe10766d19/articles/10.3389/fpsyg.2023.1185880/full</w:t>
        </w:r>
      </w:hyperlink>
    </w:p>
    <w:p>
      <w:pPr>
        <w:pStyle w:val="Heading1"/>
      </w:pPr>
      <w:bookmarkStart w:id="2" w:name="_Toc2"/>
      <w:r>
        <w:t>Article summary:</w:t>
      </w:r>
      <w:bookmarkEnd w:id="2"/>
    </w:p>
    <w:p>
      <w:pPr>
        <w:jc w:val="both"/>
      </w:pPr>
      <w:r>
        <w:rPr/>
        <w:t xml:space="preserve">1. AIGC (Artificial Intelligence Generate Content) has been widely applied in various fields, such as chatbots and AI paintings, raising questions about how to perceive the creativity and social role of AI-generated content.</w:t>
      </w:r>
    </w:p>
    <w:p>
      <w:pPr>
        <w:jc w:val="both"/>
      </w:pPr>
      <w:r>
        <w:rPr/>
        <w:t xml:space="preserve">2. Previous research has shown that humans tend to value paintings made by humans more than those made by AI when the creator is known. However, there are scenarios where the perceptual quality of AI-created paintings may be comparable to human-generated ones.</w:t>
      </w:r>
    </w:p>
    <w:p>
      <w:pPr>
        <w:jc w:val="both"/>
      </w:pPr>
      <w:r>
        <w:rPr/>
        <w:t xml:space="preserve">3. The article discusses two perspectives: the theory of Computers Are Social Actors (CASA), which speculates whether AI can be a social participant, and the role and identity of AI in relation to humans. It is difficult for people to distinguish between content generated by AI and content created by humans without knowing the identity of the creator. Additionally, it is believed that AI may not have a unique personal style in its creations.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这篇文章探讨了人工智能生成内容（AIGC）对个体感知的实验研究。然而，文章存在一些潜在的偏见和问题。</w:t>
      </w:r>
    </w:p>
    <w:p>
      <w:pPr>
        <w:jc w:val="both"/>
      </w:pPr>
      <w:r>
        <w:rPr/>
        <w:t xml:space="preserve"/>
      </w:r>
    </w:p>
    <w:p>
      <w:pPr>
        <w:jc w:val="both"/>
      </w:pPr>
      <w:r>
        <w:rPr/>
        <w:t xml:space="preserve">首先，文章提到了一些关于AIGC的成功案例，如Chatgpt用户数量的增长和AI绘画在拍卖会上的高价成交。然而，这些例子只是表面现象，并没有提供足够的证据来支持作者对AIGC创造力的论断。文章没有提供更多关于AIGC创造力和创作过程的具体信息和研究结果。</w:t>
      </w:r>
    </w:p>
    <w:p>
      <w:pPr>
        <w:jc w:val="both"/>
      </w:pPr>
      <w:r>
        <w:rPr/>
        <w:t xml:space="preserve"/>
      </w:r>
    </w:p>
    <w:p>
      <w:pPr>
        <w:jc w:val="both"/>
      </w:pPr>
      <w:r>
        <w:rPr/>
        <w:t xml:space="preserve">其次，文章提到了人们对由AI创作的艺术品价值感知较低的研究结果。然而，这些研究可能存在一定程度上的片面性，因为它们只考虑了特定情境下的感知差异，并没有全面评估AIGC创作与人类创作之间的差异和价值。</w:t>
      </w:r>
    </w:p>
    <w:p>
      <w:pPr>
        <w:jc w:val="both"/>
      </w:pPr>
      <w:r>
        <w:rPr/>
        <w:t xml:space="preserve"/>
      </w:r>
    </w:p>
    <w:p>
      <w:pPr>
        <w:jc w:val="both"/>
      </w:pPr>
      <w:r>
        <w:rPr/>
        <w:t xml:space="preserve">此外，文章还提到了关于人工智能是否可以成为社会参与者以及与人类角色和身份相关问题的讨论。然而，文章并没有深入探讨这些问题，并且没有提供足够的证据来支持作者对AIGC社会参与能力和身份认同方面观点。</w:t>
      </w:r>
    </w:p>
    <w:p>
      <w:pPr>
        <w:jc w:val="both"/>
      </w:pPr>
      <w:r>
        <w:rPr/>
        <w:t xml:space="preserve"/>
      </w:r>
    </w:p>
    <w:p>
      <w:pPr>
        <w:jc w:val="both"/>
      </w:pPr>
      <w:r>
        <w:rPr/>
        <w:t xml:space="preserve">最后，在整篇文章中，作者没有平等地呈现双方观点，并且没有探讨可能的风险和负面影响。文章过于强调AIGC的创造力和潜力，而忽视了可能存在的技术限制、伦理问题和社会影响。</w:t>
      </w:r>
    </w:p>
    <w:p>
      <w:pPr>
        <w:jc w:val="both"/>
      </w:pPr>
      <w:r>
        <w:rPr/>
        <w:t xml:space="preserve"/>
      </w:r>
    </w:p>
    <w:p>
      <w:pPr>
        <w:jc w:val="both"/>
      </w:pPr>
      <w:r>
        <w:rPr/>
        <w:t xml:space="preserve">综上所述，这篇文章在对AIGC创造力和社会参与能力的讨论中存在一些偏见和不足之处。需要更多的研究来全面评估AIGC的潜力、限制和影响，并提供更加客观和全面的观点。</w:t>
      </w:r>
    </w:p>
    <w:p>
      <w:pPr>
        <w:pStyle w:val="Heading1"/>
      </w:pPr>
      <w:bookmarkStart w:id="5" w:name="_Toc5"/>
      <w:r>
        <w:t>Topics for further research:</w:t>
      </w:r>
      <w:bookmarkEnd w:id="5"/>
    </w:p>
    <w:p>
      <w:pPr>
        <w:spacing w:after="0"/>
        <w:numPr>
          <w:ilvl w:val="0"/>
          <w:numId w:val="2"/>
        </w:numPr>
      </w:pPr>
      <w:r>
        <w:rPr/>
        <w:t xml:space="preserve">AIGC创造力的具体信息和研究结果
</w:t>
      </w:r>
    </w:p>
    <w:p>
      <w:pPr>
        <w:spacing w:after="0"/>
        <w:numPr>
          <w:ilvl w:val="0"/>
          <w:numId w:val="2"/>
        </w:numPr>
      </w:pPr>
      <w:r>
        <w:rPr/>
        <w:t xml:space="preserve">AIGC创作与人类创作之间的差异和价值
</w:t>
      </w:r>
    </w:p>
    <w:p>
      <w:pPr>
        <w:spacing w:after="0"/>
        <w:numPr>
          <w:ilvl w:val="0"/>
          <w:numId w:val="2"/>
        </w:numPr>
      </w:pPr>
      <w:r>
        <w:rPr/>
        <w:t xml:space="preserve">AIGC社会参与能力和身份认同的证据
</w:t>
      </w:r>
    </w:p>
    <w:p>
      <w:pPr>
        <w:spacing w:after="0"/>
        <w:numPr>
          <w:ilvl w:val="0"/>
          <w:numId w:val="2"/>
        </w:numPr>
      </w:pPr>
      <w:r>
        <w:rPr/>
        <w:t xml:space="preserve">AIGC可能存在的技术限制
</w:t>
      </w:r>
    </w:p>
    <w:p>
      <w:pPr>
        <w:spacing w:after="0"/>
        <w:numPr>
          <w:ilvl w:val="0"/>
          <w:numId w:val="2"/>
        </w:numPr>
      </w:pPr>
      <w:r>
        <w:rPr/>
        <w:t xml:space="preserve">AIGC可能存在的伦理问题
</w:t>
      </w:r>
    </w:p>
    <w:p>
      <w:pPr>
        <w:numPr>
          <w:ilvl w:val="0"/>
          <w:numId w:val="2"/>
        </w:numPr>
      </w:pPr>
      <w:r>
        <w:rPr/>
        <w:t xml:space="preserve">AIGC可能存在的社会影响</w:t>
      </w:r>
    </w:p>
    <w:p>
      <w:pPr>
        <w:pStyle w:val="Heading1"/>
      </w:pPr>
      <w:bookmarkStart w:id="6" w:name="_Toc6"/>
      <w:r>
        <w:t>Report location:</w:t>
      </w:r>
      <w:bookmarkEnd w:id="6"/>
    </w:p>
    <w:p>
      <w:hyperlink r:id="rId8" w:history="1">
        <w:r>
          <w:rPr>
            <w:color w:val="2980b9"/>
            <w:u w:val="single"/>
          </w:rPr>
          <w:t xml:space="preserve">https://www.fullpicture.app/item/44c996af69d9b63dac570bb88a684031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6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wu.edu.cn/https/537775736869676568616f78756565212aae45f5738f848fd84f2c400da4fe10766d19/articles/10.3389/fpsyg.2023.1185880/full" TargetMode="External"/><Relationship Id="rId8" Type="http://schemas.openxmlformats.org/officeDocument/2006/relationships/hyperlink" Target="https://www.fullpicture.app/item/44c996af69d9b63dac570bb88a6840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2023-09-04T12:16:33+02:00</dcterms:created>
  <dcterms:modified xsi:type="dcterms:W3CDTF">2023-09-04T12:16:33+02:00</dcterms:modified>
</cp:coreProperties>
</file>

<file path=docProps/custom.xml><?xml version="1.0" encoding="utf-8"?>
<Properties xmlns="http://schemas.openxmlformats.org/officeDocument/2006/custom-properties" xmlns:vt="http://schemas.openxmlformats.org/officeDocument/2006/docPropsVTypes"/>
</file>