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On de-risking and de-dollarizing intra-BRICS trade via smart contracts</w:t></w:r><w:br/><w:hyperlink r:id="rId7" w:history="1"><w:r><w:rPr><w:color w:val="2980b9"/><w:u w:val="single"/></w:rPr><w:t xml:space="preserve">https://scholar.googleusercontent.com/scholar?q=cache:rXAZTKoYp6oJ:scholar.google.com/+de-dollarizing+bank+deposits&hl=zh-CN&as_sdt=0,5</w:t></w:r></w:hyperlink></w:p><w:p><w:pPr><w:pStyle w:val="Heading1"/></w:pPr><w:bookmarkStart w:id="2" w:name="_Toc2"/><w:r><w:t>Article summary:</w:t></w:r><w:bookmarkEnd w:id="2"/></w:p><w:p><w:pPr><w:jc w:val="both"/></w:pPr><w:r><w:rPr/><w:t xml:space="preserve">1. This study explores the existing systemic barriers to intra-BRICS national currency use in currency swaps and trade finance. </w:t></w:r></w:p><w:p><w:pPr><w:jc w:val="both"/></w:pPr><w:r><w:rPr/><w:t xml:space="preserve">2. It is found that the New Development Bank’s Contingency Reserve Arrangement has built-in systemic barriers which are preventing direct currency swaps between BRICS member states. </w:t></w:r></w:p><w:p><w:pPr><w:jc w:val="both"/></w:pPr><w:r><w:rPr/><w:t xml:space="preserve">3. A phased solution is proposed to address the fundamental market barriers to national currencies by using smart contracts to de-risk intra-BRICS trade.</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“On de-risking and de-dollarizing intra-BRICS trade via smart contracts” by Parv Aggarwal provides a comprehensive overview of the current state of de-dollarization initiatives within BRICS countries, as well as an analysis of the systemic factors preventing national settlement use. The author presents a detailed solution for overcoming these gaps and de-risking trade within BRICS through the use of smart contracts. </w:t></w:r></w:p><w:p><w:pPr><w:jc w:val="both"/></w:pPr><w:r><w:rPr/><w:t xml:space="preserve">The article is well researched and provides a thorough overview of the current state of affairs with regards to de-dollarization initiatives within BRICS countries, as well as an analysis of the systemic factors preventing national settlement use. The author also provides a detailed solution for overcoming these gaps and de-risking trade within BRICS through the use of smart contracts, which is supported by evidence from both literature review and empirical data from Russia's intra-BRICS settlements (as a representative sample). </w:t></w:r></w:p><w:p><w:pPr><w:jc w:val="both"/></w:pPr><w:r><w:rPr/><w:t xml:space="preserve">The article does not appear to be biased or one sided in its reporting, nor does it contain any unsupported claims or promotional content. All claims made are backed up with evidence from both literature review and empirical data, while counterarguments are explored throughout the paper. Furthermore, possible risks associated with implementing such solutions are noted throughout the paper, providing readers with an informed perspective on potential drawbacks associated with this approach. </w:t></w:r></w:p><w:p><w:pPr><w:jc w:val="both"/></w:pPr><w:r><w:rPr/><w:t xml:space="preserve">In conclusion, this article appears to be reliable and trustworthy due to its comprehensive coverage of relevant topics related to de-dollarization initiatives within BRICS countries, its thorough analysis of systemic factors preventing national settlement use, its detailed solution for overcoming these gaps through smart contracts, as well as its lack of bias or one sided reporting.</w:t></w:r></w:p><w:p><w:pPr><w:pStyle w:val="Heading1"/></w:pPr><w:bookmarkStart w:id="5" w:name="_Toc5"/><w:r><w:t>Topics for further research:</w:t></w:r><w:bookmarkEnd w:id="5"/></w:p><w:p><w:pPr><w:spacing w:after="0"/><w:numPr><w:ilvl w:val="0"/><w:numId w:val="2"/></w:numPr></w:pPr><w:r><w:rPr/><w:t xml:space="preserve">De-dollarization initiatives in BRICS countries</w:t></w:r></w:p><w:p><w:pPr><w:spacing w:after="0"/><w:numPr><w:ilvl w:val="0"/><w:numId w:val="2"/></w:numPr></w:pPr><w:r><w:rPr/><w:t xml:space="preserve">National settlement use in BRICS countries</w:t></w:r></w:p><w:p><w:pPr><w:spacing w:after="0"/><w:numPr><w:ilvl w:val="0"/><w:numId w:val="2"/></w:numPr></w:pPr><w:r><w:rPr/><w:t xml:space="preserve">Smart contracts for de-risking intra-BRICS trade</w:t></w:r></w:p><w:p><w:pPr><w:spacing w:after="0"/><w:numPr><w:ilvl w:val="0"/><w:numId w:val="2"/></w:numPr></w:pPr><w:r><w:rPr/><w:t xml:space="preserve">Benefits of de-dollarizing intra-BRICS trade</w:t></w:r></w:p><w:p><w:pPr><w:spacing w:after="0"/><w:numPr><w:ilvl w:val="0"/><w:numId w:val="2"/></w:numPr></w:pPr><w:r><w:rPr/><w:t xml:space="preserve">Challenges of de-dollarizing intra-BRICS trade</w:t></w:r></w:p><w:p><w:pPr><w:numPr><w:ilvl w:val="0"/><w:numId w:val="2"/></w:numPr></w:pPr><w:r><w:rPr/><w:t xml:space="preserve">Regulatory framework for de-dollarizing intra-BRICS trade</w:t></w:r></w:p><w:p><w:pPr><w:pStyle w:val="Heading1"/></w:pPr><w:bookmarkStart w:id="6" w:name="_Toc6"/><w:r><w:t>Report location:</w:t></w:r><w:bookmarkEnd w:id="6"/></w:p><w:p><w:hyperlink r:id="rId8" w:history="1"><w:r><w:rPr><w:color w:val="2980b9"/><w:u w:val="single"/></w:rPr><w:t xml:space="preserve">https://www.fullpicture.app/item/460e20c73562b46be7bd9c09288308f5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E67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olar.googleusercontent.com/scholar?q=cache:rXAZTKoYp6oJ:scholar.google.com/+de-dollarizing+bank+deposits&amp;hl=zh-CN&amp;as_sdt=0,5" TargetMode="External"/><Relationship Id="rId8" Type="http://schemas.openxmlformats.org/officeDocument/2006/relationships/hyperlink" Target="https://www.fullpicture.app/item/460e20c73562b46be7bd9c09288308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2023-03-04T04:02:03+01:00</dcterms:created>
  <dcterms:modified xsi:type="dcterms:W3CDTF">2023-03-04T04:02:03+01:00</dcterms:modified>
</cp:coreProperties>
</file>

<file path=docProps/custom.xml><?xml version="1.0" encoding="utf-8"?>
<Properties xmlns="http://schemas.openxmlformats.org/officeDocument/2006/custom-properties" xmlns:vt="http://schemas.openxmlformats.org/officeDocument/2006/docPropsVTypes"/>
</file>