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全文：双重股权结构的影响：阿里巴巴IPO成功分析</w:t>
      </w:r>
      <w:br/>
      <w:hyperlink r:id="rId7" w:history="1">
        <w:r>
          <w:rPr>
            <w:color w:val="2980b9"/>
            <w:u w:val="single"/>
          </w:rPr>
          <w:t xml:space="preserve">https://www.tandfonline.com/doi/full/10.1080/13602381.2023.2179169</w:t>
        </w:r>
      </w:hyperlink>
    </w:p>
    <w:p>
      <w:pPr>
        <w:pStyle w:val="Heading1"/>
      </w:pPr>
      <w:bookmarkStart w:id="2" w:name="_Toc2"/>
      <w:r>
        <w:t>Article summary:</w:t>
      </w:r>
      <w:bookmarkEnd w:id="2"/>
    </w:p>
    <w:p>
      <w:pPr>
        <w:jc w:val="both"/>
      </w:pPr>
      <w:r>
        <w:rPr/>
        <w:t xml:space="preserve">1. The article discusses the differences between traditional and internet companies, focusing on the double equity structure of internet companies.</w:t>
      </w:r>
    </w:p>
    <w:p>
      <w:pPr>
        <w:jc w:val="both"/>
      </w:pPr>
      <w:r>
        <w:rPr/>
        <w:t xml:space="preserve">2. The article uses Alibaba as an example to analyze the impact of double equity structure on IPO and long-term development.</w:t>
      </w:r>
    </w:p>
    <w:p>
      <w:pPr>
        <w:jc w:val="both"/>
      </w:pPr>
      <w:r>
        <w:rPr/>
        <w:t xml:space="preserve">3. The article provides a detailed analysis of external regulation, internal human capital and equity capital of Alibaba's partnership system, as well as its financial performance in terms of profitability, growth potential and risk control.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differences between traditional and internet companies, particularly with regards to their respective equity structures. It provides a comprehensive overview of the double equity structure adopted by many internet companies, using Alibaba as an example to illustrate its effects on IPO success and long-term development. The article also offers a detailed analysis of external regulation, internal human capital and equity capital of Alibaba's partnership system, as well as its financial performance in terms of profitability, growth potential and risk control.</w:t>
      </w:r>
    </w:p>
    <w:p>
      <w:pPr>
        <w:jc w:val="both"/>
      </w:pPr>
      <w:r>
        <w:rPr/>
        <w:t xml:space="preserve">However, there are some areas where the article could be improved upon. For instance, it does not provide any counterarguments or alternative perspectives on the issue at hand; instead it focuses solely on one side of the argument without exploring other possible points of view or evidence that may contradict its claims. Additionally, while it does provide some data to support its claims about Alibaba's success due to its double equity structure, it does not provide any evidence from other internet companies that have adopted similar structures in order to compare their results with those achieved by Alibaba. Furthermore, while it does mention some potential risks associated with this type of structure (such as lack of control over decision making), it fails to explore these risks in greater detail or discuss how they can be mitigated or avoided altogether. </w:t>
      </w:r>
    </w:p>
    <w:p>
      <w:pPr>
        <w:jc w:val="both"/>
      </w:pPr>
      <w:r>
        <w:rPr/>
        <w:t xml:space="preserve">In conclusion, while this article is generally reliable and trustworthy in its discussion of double equity structures for internet companies such as Alibaba, there are still some areas where it could be improved upon in order to make it more comprehensive and balanced in its approach.</w:t>
      </w:r>
    </w:p>
    <w:p>
      <w:pPr>
        <w:pStyle w:val="Heading1"/>
      </w:pPr>
      <w:bookmarkStart w:id="5" w:name="_Toc5"/>
      <w:r>
        <w:t>Topics for further research:</w:t>
      </w:r>
      <w:bookmarkEnd w:id="5"/>
    </w:p>
    <w:p>
      <w:pPr>
        <w:spacing w:after="0"/>
        <w:numPr>
          <w:ilvl w:val="0"/>
          <w:numId w:val="2"/>
        </w:numPr>
      </w:pPr>
      <w:r>
        <w:rPr/>
        <w:t xml:space="preserve">Alternative perspectives on double equity structures </w:t>
      </w:r>
    </w:p>
    <w:p>
      <w:pPr>
        <w:spacing w:after="0"/>
        <w:numPr>
          <w:ilvl w:val="0"/>
          <w:numId w:val="2"/>
        </w:numPr>
      </w:pPr>
      <w:r>
        <w:rPr/>
        <w:t xml:space="preserve">Evidence from other internet companies with double equity structures </w:t>
      </w:r>
    </w:p>
    <w:p>
      <w:pPr>
        <w:spacing w:after="0"/>
        <w:numPr>
          <w:ilvl w:val="0"/>
          <w:numId w:val="2"/>
        </w:numPr>
      </w:pPr>
      <w:r>
        <w:rPr/>
        <w:t xml:space="preserve">Mitigating risks associated with double equity structures </w:t>
      </w:r>
    </w:p>
    <w:p>
      <w:pPr>
        <w:spacing w:after="0"/>
        <w:numPr>
          <w:ilvl w:val="0"/>
          <w:numId w:val="2"/>
        </w:numPr>
      </w:pPr>
      <w:r>
        <w:rPr/>
        <w:t xml:space="preserve">Impact of double equity structures on decision making </w:t>
      </w:r>
    </w:p>
    <w:p>
      <w:pPr>
        <w:spacing w:after="0"/>
        <w:numPr>
          <w:ilvl w:val="0"/>
          <w:numId w:val="2"/>
        </w:numPr>
      </w:pPr>
      <w:r>
        <w:rPr/>
        <w:t xml:space="preserve">Long-term effects of double equity structures </w:t>
      </w:r>
    </w:p>
    <w:p>
      <w:pPr>
        <w:numPr>
          <w:ilvl w:val="0"/>
          <w:numId w:val="2"/>
        </w:numPr>
      </w:pPr>
      <w:r>
        <w:rPr/>
        <w:t xml:space="preserve">Regulatory implications of double equity structures</w:t>
      </w:r>
    </w:p>
    <w:p>
      <w:pPr>
        <w:pStyle w:val="Heading1"/>
      </w:pPr>
      <w:bookmarkStart w:id="6" w:name="_Toc6"/>
      <w:r>
        <w:t>Report location:</w:t>
      </w:r>
      <w:bookmarkEnd w:id="6"/>
    </w:p>
    <w:p>
      <w:hyperlink r:id="rId8" w:history="1">
        <w:r>
          <w:rPr>
            <w:color w:val="2980b9"/>
            <w:u w:val="single"/>
          </w:rPr>
          <w:t xml:space="preserve">https://www.fullpicture.app/item/46bdffdfee8fdd97128632ef1738f91c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A59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602381.2023.2179169" TargetMode="External"/><Relationship Id="rId8" Type="http://schemas.openxmlformats.org/officeDocument/2006/relationships/hyperlink" Target="https://www.fullpicture.app/item/46bdffdfee8fdd97128632ef1738f9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2023-02-26T13:05:09+01:00</dcterms:created>
  <dcterms:modified xsi:type="dcterms:W3CDTF">2023-02-26T13:05:09+01:00</dcterms:modified>
</cp:coreProperties>
</file>

<file path=docProps/custom.xml><?xml version="1.0" encoding="utf-8"?>
<Properties xmlns="http://schemas.openxmlformats.org/officeDocument/2006/custom-properties" xmlns:vt="http://schemas.openxmlformats.org/officeDocument/2006/docPropsVTypes"/>
</file>