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“双循环”新发展格局战略背景下产业数字化转型:理论与对策 - 中国知网</w:t></w:r><w:br/><w:hyperlink r:id="rId7" w:history="1"><w:r><w:rPr><w:color w:val="2980b9"/><w:u w:val="single"/></w:rPr><w:t xml:space="preserve">https://kns.cnki.net/kcms2/article/abstract?v=3uoqIhG8C44YLTlOAiTRKibYlV5Vjs7iy_Rpms2pqwbFRRUtoUImHaoiUVeiKe-GsNxrOcslLHz4ICtre5LadehQghqDBwgp&uniplatform=NZKPT</w:t></w:r></w:hyperlink></w:p><w:p><w:pPr><w:pStyle w:val="Heading1"/></w:pPr><w:bookmarkStart w:id="2" w:name="_Toc2"/><w:r><w:t>Article summary:</w:t></w:r><w:bookmarkEnd w:id="2"/></w:p><w:p><w:pPr><w:jc w:val="both"/></w:pPr><w:r><w:rPr/><w:t xml:space="preserve">1. This article discusses the theoretical framework of industrial digital transformation under the strategic background of “building a new development pattern with domestic circulation as the main body and mutual promotion of domestic and international double circulation”.</w:t></w:r></w:p><w:p><w:pPr><w:jc w:val="both"/></w:pPr><w:r><w:rPr/><w:t xml:space="preserve">2. It analyzes the new opportunities and challenges faced by China's industrial digital transformation under the strategic background of “double circulation”, and proposes four policy mechanisms and four measures to promote China's industrial digital transformation.</w:t></w:r></w:p><w:p><w:pPr><w:jc w:val="both"/></w:pPr><w:r><w:rPr/><w:t xml:space="preserve">3. The article is funded by two grants from the National Social Science Foundation and Beijing Social Science Foundation.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well-structured, providing an in-depth analysis of the theoretical framework of industrial digital transformation under the strategic background of “building a new development pattern with domestic circulation as the main body and mutual promotion of domestic and international double circulation”. The article also provides an analysis of the new opportunities and challenges faced by China's industrial digital transformation under this strategic background, proposing four policy mechanisms and four measures to promote China's industrial digital transformation. </w:t></w:r></w:p><w:p><w:pPr><w:jc w:val="both"/></w:pPr><w:r><w:rPr/><w:t xml:space="preserve">The article appears to be reliable, as it is funded by two grants from the National Social Science Foundation and Beijing Social Science Foundation, which suggests that it has been thoroughly researched before being published. Furthermore, there are no obvious biases or unsupported claims in the text, nor any missing points or evidence for its claims made. All arguments are presented objectively without any promotional content or partiality towards one side over another. The article also notes possible risks associated with its proposed measures for promoting China's industrial digital transformation, thus presenting both sides equally.</w:t></w:r></w:p><w:p><w:pPr><w:pStyle w:val="Heading1"/></w:pPr><w:bookmarkStart w:id="5" w:name="_Toc5"/><w:r><w:t>Topics for further research:</w:t></w:r><w:bookmarkEnd w:id="5"/></w:p><w:p><w:pPr><w:spacing w:after="0"/><w:numPr><w:ilvl w:val="0"/><w:numId w:val="2"/></w:numPr></w:pPr><w:r><w:rPr/><w:t xml:space="preserve">Industrial digital transformation strategies</w:t></w:r></w:p><w:p><w:pPr><w:spacing w:after="0"/><w:numPr><w:ilvl w:val="0"/><w:numId w:val="2"/></w:numPr></w:pPr><w:r><w:rPr/><w:t xml:space="preserve">Domestic and international double circulation</w:t></w:r></w:p><w:p><w:pPr><w:spacing w:after="0"/><w:numPr><w:ilvl w:val="0"/><w:numId w:val="2"/></w:numPr></w:pPr><w:r><w:rPr/><w:t xml:space="preserve">Challenges of industrial digital transformation</w:t></w:r></w:p><w:p><w:pPr><w:spacing w:after="0"/><w:numPr><w:ilvl w:val="0"/><w:numId w:val="2"/></w:numPr></w:pPr><w:r><w:rPr/><w:t xml:space="preserve">Policy mechanisms for industrial digital transformation</w:t></w:r></w:p><w:p><w:pPr><w:spacing w:after="0"/><w:numPr><w:ilvl w:val="0"/><w:numId w:val="2"/></w:numPr></w:pPr><w:r><w:rPr/><w:t xml:space="preserve">Measures to promote industrial digital transformation</w:t></w:r></w:p><w:p><w:pPr><w:numPr><w:ilvl w:val="0"/><w:numId w:val="2"/></w:numPr></w:pPr><w:r><w:rPr/><w:t xml:space="preserve">Risks associated with industrial digital transformation</w:t></w:r></w:p><w:p><w:pPr><w:pStyle w:val="Heading1"/></w:pPr><w:bookmarkStart w:id="6" w:name="_Toc6"/><w:r><w:t>Report location:</w:t></w:r><w:bookmarkEnd w:id="6"/></w:p><w:p><w:hyperlink r:id="rId8" w:history="1"><w:r><w:rPr><w:color w:val="2980b9"/><w:u w:val="single"/></w:rPr><w:t xml:space="preserve">https://www.fullpicture.app/item/4711c3893907a282d28af27f077d7d0c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F1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aoiUVeiKe-GsNxrOcslLHz4ICtre5LadehQghqDBwgp&amp;uniplatform=NZKPT" TargetMode="External"/><Relationship Id="rId8" Type="http://schemas.openxmlformats.org/officeDocument/2006/relationships/hyperlink" Target="https://www.fullpicture.app/item/4711c3893907a282d28af27f077d7d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2023-02-24T00:56:57+01:00</dcterms:created>
  <dcterms:modified xsi:type="dcterms:W3CDTF">2023-02-24T00:56:57+01:00</dcterms:modified>
</cp:coreProperties>
</file>

<file path=docProps/custom.xml><?xml version="1.0" encoding="utf-8"?>
<Properties xmlns="http://schemas.openxmlformats.org/officeDocument/2006/custom-properties" xmlns:vt="http://schemas.openxmlformats.org/officeDocument/2006/docPropsVTypes"/>
</file>