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Capacity for instantaneous catabolism of preferred and non-preferred carbon sources in Escherichia coli and Bacillus subtilis | Scientific Reports</w:t>
      </w:r>
      <w:br/>
      <w:hyperlink r:id="rId7" w:history="1">
        <w:r>
          <w:rPr>
            <w:color w:val="2980b9"/>
            <w:u w:val="single"/>
          </w:rPr>
          <w:t xml:space="preserve">https://www.nature.com/articles/s41598-018-30266-3</w:t>
        </w:r>
      </w:hyperlink>
    </w:p>
    <w:p>
      <w:pPr>
        <w:pStyle w:val="Heading1"/>
      </w:pPr>
      <w:bookmarkStart w:id="2" w:name="_Toc2"/>
      <w:r>
        <w:t>Article summary:</w:t>
      </w:r>
      <w:bookmarkEnd w:id="2"/>
    </w:p>
    <w:p>
      <w:pPr>
        <w:jc w:val="both"/>
      </w:pPr>
      <w:r>
        <w:rPr/>
        <w:t xml:space="preserve">1. This article investigates the capacity of Escherichia coli and Bacillus subtilis for instantaneous consumption and metabolism of preferred and non-preferred glycolytic and gluconeogenic carbon sources.</w:t>
      </w:r>
    </w:p>
    <w:p>
      <w:pPr>
        <w:jc w:val="both"/>
      </w:pPr>
      <w:r>
        <w:rPr/>
        <w:t xml:space="preserve">2. The article uses isotopic tracer-based carbon source shift-experiments to distinguish uptake and further metabolism of the alternative carbon source, providing a direct readout for glycolytic flux reversal.</w:t>
      </w:r>
    </w:p>
    <w:p>
      <w:pPr>
        <w:jc w:val="both"/>
      </w:pPr>
      <w:r>
        <w:rPr/>
        <w:t xml:space="preserve">3. The results demonstrate that instantaneous glucose uptake and catabolism during growth on pyruvate is transcriptionally prevented in B. subtilis, requiring additional allosteric regulation which was verified through in vitro experiments.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methods used to investigate the capacity of Escherichia coli and Bacillus subtilis for instantaneous consumption and metabolism of preferred and non-preferred glycolytic and gluconeogenic carbon sources. The authors provide clear descriptions of their experiments, including the strains used, media components, carbon source switches, metabolite measurements, kinetic modelling, enzyme purification, etc., which allows readers to understand how they arrived at their conclusions. Furthermore, the authors cite relevant literature throughout the article to support their claims.</w:t>
      </w:r>
    </w:p>
    <w:p>
      <w:pPr>
        <w:jc w:val="both"/>
      </w:pPr>
      <w:r>
        <w:rPr/>
        <w:t xml:space="preserve">However, there are some potential biases in this article that should be noted. For example, while the authors do discuss some potential limitations of their study (e.g., lack of experimental data on steady state concentrations of pyruvate and oxaloacetate), they do not explore other possible limitations or counterarguments that could be raised against their findings or conclusions. Additionally, while the authors do cite relevant literature throughout the article to support their claims, they do not provide any evidence for some of their more speculative statements (e.g., “For E. coli it has indeed been shown that glucose can instantaneously be taken up and metabolized during growth on the non-preferred carbon source pyruvate”). Finally, while this article does present both sides equally (i.e., E. coli vs B. subtilis), it does not explore other organisms or species that could potentially have different capacities for instantaneous catabolism of preferred/non-preferred carbon sources than those discussed in this study (e.g., other bacteria or archaea). </w:t>
      </w:r>
    </w:p>
    <w:p>
      <w:pPr>
        <w:jc w:val="both"/>
      </w:pPr>
      <w:r>
        <w:rPr/>
        <w:t xml:space="preserve">In conclusion, this article is generally reliable but there are some potential biases that should be noted when evaluating its trustworthiness</w:t>
      </w:r>
    </w:p>
    <w:p>
      <w:pPr>
        <w:pStyle w:val="Heading1"/>
      </w:pPr>
      <w:bookmarkStart w:id="5" w:name="_Toc5"/>
      <w:r>
        <w:t>Topics for further research:</w:t>
      </w:r>
      <w:bookmarkEnd w:id="5"/>
    </w:p>
    <w:p>
      <w:pPr>
        <w:spacing w:after="0"/>
        <w:numPr>
          <w:ilvl w:val="0"/>
          <w:numId w:val="2"/>
        </w:numPr>
      </w:pPr>
      <w:r>
        <w:rPr/>
        <w:t xml:space="preserve">Carbon source switch experiments</w:t>
      </w:r>
    </w:p>
    <w:p>
      <w:pPr>
        <w:spacing w:after="0"/>
        <w:numPr>
          <w:ilvl w:val="0"/>
          <w:numId w:val="2"/>
        </w:numPr>
      </w:pPr>
      <w:r>
        <w:rPr/>
        <w:t xml:space="preserve">Metabolite measurements</w:t>
      </w:r>
    </w:p>
    <w:p>
      <w:pPr>
        <w:spacing w:after="0"/>
        <w:numPr>
          <w:ilvl w:val="0"/>
          <w:numId w:val="2"/>
        </w:numPr>
      </w:pPr>
      <w:r>
        <w:rPr/>
        <w:t xml:space="preserve">Kinetic modelling</w:t>
      </w:r>
    </w:p>
    <w:p>
      <w:pPr>
        <w:spacing w:after="0"/>
        <w:numPr>
          <w:ilvl w:val="0"/>
          <w:numId w:val="2"/>
        </w:numPr>
      </w:pPr>
      <w:r>
        <w:rPr/>
        <w:t xml:space="preserve">Enzyme purification</w:t>
      </w:r>
    </w:p>
    <w:p>
      <w:pPr>
        <w:spacing w:after="0"/>
        <w:numPr>
          <w:ilvl w:val="0"/>
          <w:numId w:val="2"/>
        </w:numPr>
      </w:pPr>
      <w:r>
        <w:rPr/>
        <w:t xml:space="preserve">Steady state concentrations of pyruvate and oxaloacetate</w:t>
      </w:r>
    </w:p>
    <w:p>
      <w:pPr>
        <w:numPr>
          <w:ilvl w:val="0"/>
          <w:numId w:val="2"/>
        </w:numPr>
      </w:pPr>
      <w:r>
        <w:rPr/>
        <w:t xml:space="preserve">Instantaneous catabolism of preferred/non-preferred carbon sources in other organisms</w:t>
      </w:r>
    </w:p>
    <w:p>
      <w:pPr>
        <w:pStyle w:val="Heading1"/>
      </w:pPr>
      <w:bookmarkStart w:id="6" w:name="_Toc6"/>
      <w:r>
        <w:t>Report location:</w:t>
      </w:r>
      <w:bookmarkEnd w:id="6"/>
    </w:p>
    <w:p>
      <w:hyperlink r:id="rId8" w:history="1">
        <w:r>
          <w:rPr>
            <w:color w:val="2980b9"/>
            <w:u w:val="single"/>
          </w:rPr>
          <w:t xml:space="preserve">https://www.fullpicture.app/item/485495eb3554fa22e7039dec953b346f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D0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8-30266-3" TargetMode="External"/><Relationship Id="rId8" Type="http://schemas.openxmlformats.org/officeDocument/2006/relationships/hyperlink" Target="https://www.fullpicture.app/item/485495eb3554fa22e7039dec953b34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2023-02-20T18:24:04+01:00</dcterms:created>
  <dcterms:modified xsi:type="dcterms:W3CDTF">2023-02-20T18:24:04+01:00</dcterms:modified>
</cp:coreProperties>
</file>

<file path=docProps/custom.xml><?xml version="1.0" encoding="utf-8"?>
<Properties xmlns="http://schemas.openxmlformats.org/officeDocument/2006/custom-properties" xmlns:vt="http://schemas.openxmlformats.org/officeDocument/2006/docPropsVTypes"/>
</file>