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Photoactivatable CRISPR/Cas12a Strategy for One-Pot DETECTR Molecular Diagnosis | Analytical Chemistry</w:t>
      </w:r>
      <w:br/>
      <w:hyperlink r:id="rId7" w:history="1">
        <w:r>
          <w:rPr>
            <w:color w:val="2980b9"/>
            <w:u w:val="single"/>
          </w:rPr>
          <w:t xml:space="preserve">https://pubs.acs.org/doi/10.1021/acs.analchem.2c01193</w:t>
        </w:r>
      </w:hyperlink>
    </w:p>
    <w:p>
      <w:pPr>
        <w:pStyle w:val="Heading1"/>
      </w:pPr>
      <w:bookmarkStart w:id="2" w:name="_Toc2"/>
      <w:r>
        <w:t>Article summary:</w:t>
      </w:r>
      <w:bookmarkEnd w:id="2"/>
    </w:p>
    <w:p>
      <w:pPr>
        <w:jc w:val="both"/>
      </w:pPr>
      <w:r>
        <w:rPr/>
        <w:t xml:space="preserve">1. 介绍了一种新的分子诊断技术，基于CRISPR/Cas12a策略和DETECTR技术。</w:t>
      </w:r>
    </w:p>
    <w:p>
      <w:pPr>
        <w:jc w:val="both"/>
      </w:pPr>
      <w:r>
        <w:rPr/>
        <w:t xml:space="preserve">2. 该技术利用光激活剂来控制Cas12a酶的活性，实现了一步式的分子诊断。</w:t>
      </w:r>
    </w:p>
    <w:p>
      <w:pPr>
        <w:jc w:val="both"/>
      </w:pPr>
      <w:r>
        <w:rPr/>
        <w:t xml:space="preserve">3. 实验结果表明，该技术具有高灵敏度和特异性，并且可以在复杂样品中进行快速检测。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由于本文是一篇科学研究论文，其内容主要涉及实验方法、结果和分析，因此不太可能存在明显的偏见或宣传内容。然而，在阅读文章时，我们可以注意到以下几点：</w:t>
      </w:r>
    </w:p>
    <w:p>
      <w:pPr>
        <w:jc w:val="both"/>
      </w:pPr>
      <w:r>
        <w:rPr/>
        <w:t xml:space="preserve"/>
      </w:r>
    </w:p>
    <w:p>
      <w:pPr>
        <w:jc w:val="both"/>
      </w:pPr>
      <w:r>
        <w:rPr/>
        <w:t xml:space="preserve">1. 片面报道：文章中只介绍了作者们开发的新型分子诊断技术的优点和应用前景，但并未提及其可能存在的局限性或风险。例如，该技术是否会出现误诊率高、样本处理复杂等问题，并且在实际应用中是否需要考虑生物伦理等方面的问题。</w:t>
      </w:r>
    </w:p>
    <w:p>
      <w:pPr>
        <w:jc w:val="both"/>
      </w:pPr>
      <w:r>
        <w:rPr/>
        <w:t xml:space="preserve"/>
      </w:r>
    </w:p>
    <w:p>
      <w:pPr>
        <w:jc w:val="both"/>
      </w:pPr>
      <w:r>
        <w:rPr/>
        <w:t xml:space="preserve">2. 缺失的考虑点：文章中并未对其他已有的分子诊断技术进行比较或评估，也没有探讨该技术与传统检测方法之间的差异和优劣势。此外，在实验设计和数据分析过程中是否考虑了潜在的干扰因素也没有详细说明。</w:t>
      </w:r>
    </w:p>
    <w:p>
      <w:pPr>
        <w:jc w:val="both"/>
      </w:pPr>
      <w:r>
        <w:rPr/>
        <w:t xml:space="preserve"/>
      </w:r>
    </w:p>
    <w:p>
      <w:pPr>
        <w:jc w:val="both"/>
      </w:pPr>
      <w:r>
        <w:rPr/>
        <w:t xml:space="preserve">3. 主张缺乏证据支持：文章中提到该技术可以快速、准确地检测目标基因序列，并且具有高灵敏度和特异性。然而，在实验结果部分并未提供足够的数据支持这些主张。例如，在样品处理和检测过程中是否存在假阳性或假阴性结果，并且该技术是否可以适用于不同类型的样品等问题都没有得到充分的验证。</w:t>
      </w:r>
    </w:p>
    <w:p>
      <w:pPr>
        <w:jc w:val="both"/>
      </w:pPr>
      <w:r>
        <w:rPr/>
        <w:t xml:space="preserve"/>
      </w:r>
    </w:p>
    <w:p>
      <w:pPr>
        <w:jc w:val="both"/>
      </w:pPr>
      <w:r>
        <w:rPr/>
        <w:t xml:space="preserve">4. 未探索的反驳：文章中并未涉及其他科学家或研究团队对该技术的评价或反驳意见。这可能会导致读者对该技术的真实性和可靠性产生质疑，因为任何新型技术都需要经过多方面的验证和评估才能被广泛应用。</w:t>
      </w:r>
    </w:p>
    <w:p>
      <w:pPr>
        <w:jc w:val="both"/>
      </w:pPr>
      <w:r>
        <w:rPr/>
        <w:t xml:space="preserve"/>
      </w:r>
    </w:p>
    <w:p>
      <w:pPr>
        <w:jc w:val="both"/>
      </w:pPr>
      <w:r>
        <w:rPr/>
        <w:t xml:space="preserve">总之，虽然本文是一篇科学研究论文，但在阅读时仍需保持批判思维，注意其可能存在的局限性和偏差，并结合其他相关研究进行综合评估。</w:t>
      </w:r>
    </w:p>
    <w:p>
      <w:pPr>
        <w:pStyle w:val="Heading1"/>
      </w:pPr>
      <w:bookmarkStart w:id="5" w:name="_Toc5"/>
      <w:r>
        <w:t>Topics for further research:</w:t>
      </w:r>
      <w:bookmarkEnd w:id="5"/>
    </w:p>
    <w:p>
      <w:pPr>
        <w:spacing w:after="0"/>
        <w:numPr>
          <w:ilvl w:val="0"/>
          <w:numId w:val="2"/>
        </w:numPr>
      </w:pPr>
      <w:r>
        <w:rPr/>
        <w:t xml:space="preserve">Limitations and risks of the new molecular diagnostic technology
</w:t>
      </w:r>
    </w:p>
    <w:p>
      <w:pPr>
        <w:spacing w:after="0"/>
        <w:numPr>
          <w:ilvl w:val="0"/>
          <w:numId w:val="2"/>
        </w:numPr>
      </w:pPr>
      <w:r>
        <w:rPr/>
        <w:t xml:space="preserve">Comparison and evaluation of the new technology with existing molecular diagnostic methods and traditional detection methods
</w:t>
      </w:r>
    </w:p>
    <w:p>
      <w:pPr>
        <w:spacing w:after="0"/>
        <w:numPr>
          <w:ilvl w:val="0"/>
          <w:numId w:val="2"/>
        </w:numPr>
      </w:pPr>
      <w:r>
        <w:rPr/>
        <w:t xml:space="preserve">Adequacy of data supporting the claims of the new technology's speed</w:t>
      </w:r>
    </w:p>
    <w:p>
      <w:pPr>
        <w:spacing w:after="0"/>
        <w:numPr>
          <w:ilvl w:val="0"/>
          <w:numId w:val="2"/>
        </w:numPr>
      </w:pPr>
      <w:r>
        <w:rPr/>
        <w:t xml:space="preserve">accuracy</w:t>
      </w:r>
    </w:p>
    <w:p>
      <w:pPr>
        <w:spacing w:after="0"/>
        <w:numPr>
          <w:ilvl w:val="0"/>
          <w:numId w:val="2"/>
        </w:numPr>
      </w:pPr>
      <w:r>
        <w:rPr/>
        <w:t xml:space="preserve">sensitivity</w:t>
      </w:r>
    </w:p>
    <w:p>
      <w:pPr>
        <w:spacing w:after="0"/>
        <w:numPr>
          <w:ilvl w:val="0"/>
          <w:numId w:val="2"/>
        </w:numPr>
      </w:pPr>
      <w:r>
        <w:rPr/>
        <w:t xml:space="preserve">and specificity
</w:t>
      </w:r>
    </w:p>
    <w:p>
      <w:pPr>
        <w:spacing w:after="0"/>
        <w:numPr>
          <w:ilvl w:val="0"/>
          <w:numId w:val="2"/>
        </w:numPr>
      </w:pPr>
      <w:r>
        <w:rPr/>
        <w:t xml:space="preserve">Evaluation and rebuttal of the new technology by other scientists and research teams
</w:t>
      </w:r>
    </w:p>
    <w:p>
      <w:pPr>
        <w:spacing w:after="0"/>
        <w:numPr>
          <w:ilvl w:val="0"/>
          <w:numId w:val="2"/>
        </w:numPr>
      </w:pPr>
      <w:r>
        <w:rPr/>
        <w:t xml:space="preserve">Potential interference factors in experimental design and data analysis
</w:t>
      </w:r>
    </w:p>
    <w:p>
      <w:pPr>
        <w:numPr>
          <w:ilvl w:val="0"/>
          <w:numId w:val="2"/>
        </w:numPr>
      </w:pPr>
      <w:r>
        <w:rPr/>
        <w:t xml:space="preserve">Ethical considerations in the practical application of the new technology.</w:t>
      </w:r>
    </w:p>
    <w:p>
      <w:pPr>
        <w:pStyle w:val="Heading1"/>
      </w:pPr>
      <w:bookmarkStart w:id="6" w:name="_Toc6"/>
      <w:r>
        <w:t>Report location:</w:t>
      </w:r>
      <w:bookmarkEnd w:id="6"/>
    </w:p>
    <w:p>
      <w:hyperlink r:id="rId8" w:history="1">
        <w:r>
          <w:rPr>
            <w:color w:val="2980b9"/>
            <w:u w:val="single"/>
          </w:rPr>
          <w:t xml:space="preserve">https://www.fullpicture.app/item/48ac827758c8e3c80ec6b628bc44d2d6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3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1193" TargetMode="External"/><Relationship Id="rId8" Type="http://schemas.openxmlformats.org/officeDocument/2006/relationships/hyperlink" Target="https://www.fullpicture.app/item/48ac827758c8e3c80ec6b628bc44d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2023-04-03T04:05:47+02:00</dcterms:created>
  <dcterms:modified xsi:type="dcterms:W3CDTF">2023-04-03T04:05:47+02:00</dcterms:modified>
</cp:coreProperties>
</file>

<file path=docProps/custom.xml><?xml version="1.0" encoding="utf-8"?>
<Properties xmlns="http://schemas.openxmlformats.org/officeDocument/2006/custom-properties" xmlns:vt="http://schemas.openxmlformats.org/officeDocument/2006/docPropsVTypes"/>
</file>