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Climate Transition Risk, Climate Sentiments, and Financial Stability in a Stock-Flow Consistent Approach by Nepomuk Dunz, Asjad Naqvi, Irene Monasterolo :: SSRN</w:t>
      </w:r>
      <w:br/>
      <w:hyperlink r:id="rId7" w:history="1">
        <w:r>
          <w:rPr>
            <w:color w:val="2980b9"/>
            <w:u w:val="single"/>
          </w:rPr>
          <w:t xml:space="preserve">https://papers.ssrn.com/sol3/papers.cfm?abstract_id=3520764</w:t>
        </w:r>
      </w:hyperlink>
    </w:p>
    <w:p>
      <w:pPr>
        <w:pStyle w:val="Heading1"/>
      </w:pPr>
      <w:bookmarkStart w:id="2" w:name="_Toc2"/>
      <w:r>
        <w:t>Article summary:</w:t>
      </w:r>
      <w:bookmarkEnd w:id="2"/>
    </w:p>
    <w:p>
      <w:pPr>
        <w:jc w:val="both"/>
      </w:pPr>
      <w:r>
        <w:rPr/>
        <w:t xml:space="preserve">1. This article examines the impact of a global Carbon Tax (CT) and a Green Supporting Factor (GSF) on the greening of the real economy and credit market conditions.</w:t>
      </w:r>
    </w:p>
    <w:p>
      <w:pPr>
        <w:jc w:val="both"/>
      </w:pPr>
      <w:r>
        <w:rPr/>
        <w:t xml:space="preserve">2. The article develops a Stock-Flow Consistent behavioral model to analyze the risk transmission channels from the credit market to the economy via loans contracts, and of reinforcing feedback effects that could drive cascading macro-financial shocks.</w:t>
      </w:r>
    </w:p>
    <w:p>
      <w:pPr>
        <w:jc w:val="both"/>
      </w:pPr>
      <w:r>
        <w:rPr/>
        <w:t xml:space="preserve">3. The results suggest that while GSF could contribute to scale up green investments in short term, it could also introduce potential trade-offs on financial stability.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written by three authors who are experts in their respective fields, which adds credibility to its content. The authors have provided detailed information about their research methodology and findings, which makes it easier for readers to understand their arguments and conclusions. Furthermore, they have included references to other relevant studies in order to support their claims. </w:t>
      </w:r>
    </w:p>
    <w:p>
      <w:pPr>
        <w:jc w:val="both"/>
      </w:pPr>
      <w:r>
        <w:rPr/>
        <w:t xml:space="preserve">However, there are some areas where the article could be improved upon. For example, while the authors discuss potential risks associated with introducing a CT or GSF, they do not provide any evidence for these risks or explore counterarguments that may challenge them. Additionally, they do not present both sides of an argument equally; instead they focus mainly on supporting their own conclusions without considering alternative perspectives or points of view. Finally, there is some promotional content in the article as well; for example, when discussing welfare measures that should accompany a CT introduction, the authors only mention those that would benefit their own research rather than exploring all possible options available.</w:t>
      </w:r>
    </w:p>
    <w:p>
      <w:pPr>
        <w:pStyle w:val="Heading1"/>
      </w:pPr>
      <w:bookmarkStart w:id="5" w:name="_Toc5"/>
      <w:r>
        <w:t>Topics for further research:</w:t>
      </w:r>
      <w:bookmarkEnd w:id="5"/>
    </w:p>
    <w:p>
      <w:pPr>
        <w:spacing w:after="0"/>
        <w:numPr>
          <w:ilvl w:val="0"/>
          <w:numId w:val="2"/>
        </w:numPr>
      </w:pPr>
      <w:r>
        <w:rPr/>
        <w:t xml:space="preserve">Counterarguments to CT or GSF introduction</w:t>
      </w:r>
    </w:p>
    <w:p>
      <w:pPr>
        <w:spacing w:after="0"/>
        <w:numPr>
          <w:ilvl w:val="0"/>
          <w:numId w:val="2"/>
        </w:numPr>
      </w:pPr>
      <w:r>
        <w:rPr/>
        <w:t xml:space="preserve">Welfare measures for CT or GSF introduction</w:t>
      </w:r>
    </w:p>
    <w:p>
      <w:pPr>
        <w:spacing w:after="0"/>
        <w:numPr>
          <w:ilvl w:val="0"/>
          <w:numId w:val="2"/>
        </w:numPr>
      </w:pPr>
      <w:r>
        <w:rPr/>
        <w:t xml:space="preserve">Alternative perspectives on CT or GSF introduction</w:t>
      </w:r>
    </w:p>
    <w:p>
      <w:pPr>
        <w:spacing w:after="0"/>
        <w:numPr>
          <w:ilvl w:val="0"/>
          <w:numId w:val="2"/>
        </w:numPr>
      </w:pPr>
      <w:r>
        <w:rPr/>
        <w:t xml:space="preserve">Evidence for risks associated with CT or GSF introduction</w:t>
      </w:r>
    </w:p>
    <w:p>
      <w:pPr>
        <w:spacing w:after="0"/>
        <w:numPr>
          <w:ilvl w:val="0"/>
          <w:numId w:val="2"/>
        </w:numPr>
      </w:pPr>
      <w:r>
        <w:rPr/>
        <w:t xml:space="preserve">Promotional content in CT or GSF research</w:t>
      </w:r>
    </w:p>
    <w:p>
      <w:pPr>
        <w:numPr>
          <w:ilvl w:val="0"/>
          <w:numId w:val="2"/>
        </w:numPr>
      </w:pPr>
      <w:r>
        <w:rPr/>
        <w:t xml:space="preserve">Balanced arguments for CT or GSF introduction</w:t>
      </w:r>
    </w:p>
    <w:p>
      <w:pPr>
        <w:pStyle w:val="Heading1"/>
      </w:pPr>
      <w:bookmarkStart w:id="6" w:name="_Toc6"/>
      <w:r>
        <w:t>Report location:</w:t>
      </w:r>
      <w:bookmarkEnd w:id="6"/>
    </w:p>
    <w:p>
      <w:hyperlink r:id="rId8" w:history="1">
        <w:r>
          <w:rPr>
            <w:color w:val="2980b9"/>
            <w:u w:val="single"/>
          </w:rPr>
          <w:t xml:space="preserve">https://www.fullpicture.app/item/490418c2aa48327ac52e2b3109baf21d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14E50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pers.ssrn.com/sol3/papers.cfm?abstract_id=3520764" TargetMode="External"/><Relationship Id="rId8" Type="http://schemas.openxmlformats.org/officeDocument/2006/relationships/hyperlink" Target="https://www.fullpicture.app/item/490418c2aa48327ac52e2b3109baf21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2023-03-03T09:58:34+01:00</dcterms:created>
  <dcterms:modified xsi:type="dcterms:W3CDTF">2023-03-03T09:58:34+01:00</dcterms:modified>
</cp:coreProperties>
</file>

<file path=docProps/custom.xml><?xml version="1.0" encoding="utf-8"?>
<Properties xmlns="http://schemas.openxmlformats.org/officeDocument/2006/custom-properties" xmlns:vt="http://schemas.openxmlformats.org/officeDocument/2006/docPropsVTypes"/>
</file>