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modulation of the TREM-1/PGLYRP1/MMP-8 axis in peri-implant diseases - PubMed</w:t>
      </w:r>
      <w:br/>
      <w:hyperlink r:id="rId7" w:history="1">
        <w:r>
          <w:rPr>
            <w:color w:val="2980b9"/>
            <w:u w:val="single"/>
          </w:rPr>
          <w:t xml:space="preserve">https://pubmed.ncbi.nlm.nih.gov/31444693/</w:t>
        </w:r>
      </w:hyperlink>
    </w:p>
    <w:p>
      <w:pPr>
        <w:pStyle w:val="Heading1"/>
      </w:pPr>
      <w:bookmarkStart w:id="2" w:name="_Toc2"/>
      <w:r>
        <w:t>Article summary:</w:t>
      </w:r>
      <w:bookmarkEnd w:id="2"/>
    </w:p>
    <w:p>
      <w:pPr>
        <w:jc w:val="both"/>
      </w:pPr>
      <w:r>
        <w:rPr/>
        <w:t xml:space="preserve">1. 本研究调查了TREM-1和其配体PGLYRP1的表达，以及MMP-8和其抑制剂TIMP-1在周围种植物疾病中的表达。</w:t>
      </w:r>
    </w:p>
    <w:p>
      <w:pPr>
        <w:jc w:val="both"/>
      </w:pPr>
      <w:r>
        <w:rPr/>
        <w:t xml:space="preserve">2. PD ≥ 6 mm的患者显示出比PD &lt; 6 mm的患者更高水平的PGLYRP1、MMP-8和MMP-8/TIMP-1比值。</w:t>
      </w:r>
    </w:p>
    <w:p>
      <w:pPr>
        <w:jc w:val="both"/>
      </w:pPr>
      <w:r>
        <w:rPr/>
        <w:t xml:space="preserve">3. 同时存在牙周炎会导致种植物疾病患者中MMP-8水平显著升高。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潜在偏见及其来源：文章没有明确提到作者的潜在利益冲突或研究资助来源。这可能导致读者对研究结果的客观性产生质疑。</w:t>
      </w:r>
    </w:p>
    <w:p>
      <w:pPr>
        <w:jc w:val="both"/>
      </w:pPr>
      <w:r>
        <w:rPr/>
        <w:t xml:space="preserve"/>
      </w:r>
    </w:p>
    <w:p>
      <w:pPr>
        <w:jc w:val="both"/>
      </w:pPr>
      <w:r>
        <w:rPr/>
        <w:t xml:space="preserve">2. 片面报道：文章只关注了sTREM-1、PGLYRP1、MMP-8和TIMP-1等几个生物标志物的表达水平，而未考虑其他可能与周围种植体疾病相关的因素。这种片面报道可能会导致对该领域整体情况的误解。</w:t>
      </w:r>
    </w:p>
    <w:p>
      <w:pPr>
        <w:jc w:val="both"/>
      </w:pPr>
      <w:r>
        <w:rPr/>
        <w:t xml:space="preserve"/>
      </w:r>
    </w:p>
    <w:p>
      <w:pPr>
        <w:jc w:val="both"/>
      </w:pPr>
      <w:r>
        <w:rPr/>
        <w:t xml:space="preserve">3. 无根据的主张：文章声称sTREM-1/PGLYRP1/MMP-8轴可以作为牙周和周围种植体疾病的有效标记物，但并未提供足够的证据来支持这一主张。缺乏大规模临床试验或其他相关研究来验证这些标记物在诊断和治疗中的实际应用价值。</w:t>
      </w:r>
    </w:p>
    <w:p>
      <w:pPr>
        <w:jc w:val="both"/>
      </w:pPr>
      <w:r>
        <w:rPr/>
        <w:t xml:space="preserve"/>
      </w:r>
    </w:p>
    <w:p>
      <w:pPr>
        <w:jc w:val="both"/>
      </w:pPr>
      <w:r>
        <w:rPr/>
        <w:t xml:space="preserve">4. 缺失的考虑点：文章没有讨论其他可能影响标记物表达水平的因素，如年龄、性别、吸烟史等。这些因素可能会对结果产生重要影响，但未被纳入考虑。</w:t>
      </w:r>
    </w:p>
    <w:p>
      <w:pPr>
        <w:jc w:val="both"/>
      </w:pPr>
      <w:r>
        <w:rPr/>
        <w:t xml:space="preserve"/>
      </w:r>
    </w:p>
    <w:p>
      <w:pPr>
        <w:jc w:val="both"/>
      </w:pPr>
      <w:r>
        <w:rPr/>
        <w:t xml:space="preserve">5. 所提出主张的缺失证据：文章声称存在牙周炎会影响周围种植体疾病患者MMP-8水平的结果，但并未提供足够的数据或分析来支持这一主张。需要更多的研究来验证这个观点。</w:t>
      </w:r>
    </w:p>
    <w:p>
      <w:pPr>
        <w:jc w:val="both"/>
      </w:pPr>
      <w:r>
        <w:rPr/>
        <w:t xml:space="preserve"/>
      </w:r>
    </w:p>
    <w:p>
      <w:pPr>
        <w:jc w:val="both"/>
      </w:pPr>
      <w:r>
        <w:rPr/>
        <w:t xml:space="preserve">6. 未探索的反驳：文章没有讨论可能与其结果相矛盾的其他研究或观点。这种选择性报道可能导致读者对该领域整体情况的误解。</w:t>
      </w:r>
    </w:p>
    <w:p>
      <w:pPr>
        <w:jc w:val="both"/>
      </w:pPr>
      <w:r>
        <w:rPr/>
        <w:t xml:space="preserve"/>
      </w:r>
    </w:p>
    <w:p>
      <w:pPr>
        <w:jc w:val="both"/>
      </w:pPr>
      <w:r>
        <w:rPr/>
        <w:t xml:space="preserve">7. 宣传内容和偏袒：文章中使用了一些宣传性语言，如将sTREM-1/PGLYRP1/MMP-8轴描述为“强大的标记物”。这种宣传性语言可能会使读者对结果产生过度乐观的期望，并忽视其他可能存在的限制或不确定性。</w:t>
      </w:r>
    </w:p>
    <w:p>
      <w:pPr>
        <w:jc w:val="both"/>
      </w:pPr>
      <w:r>
        <w:rPr/>
        <w:t xml:space="preserve"/>
      </w:r>
    </w:p>
    <w:p>
      <w:pPr>
        <w:jc w:val="both"/>
      </w:pPr>
      <w:r>
        <w:rPr/>
        <w:t xml:space="preserve">8. 是否注意到可能的风险：文章没有明确讨论与使用sTREM-1、PGLYRP1、MMP-8等标记物相关的潜在风险。例如，这些标记物是否具有特异性和敏感性，以及它们在临床实践中是否可靠和可重复。</w:t>
      </w:r>
    </w:p>
    <w:p>
      <w:pPr>
        <w:jc w:val="both"/>
      </w:pPr>
      <w:r>
        <w:rPr/>
        <w:t xml:space="preserve"/>
      </w:r>
    </w:p>
    <w:p>
      <w:pPr>
        <w:jc w:val="both"/>
      </w:pPr>
      <w:r>
        <w:rPr/>
        <w:t xml:space="preserve">9. 没有平等地呈现双方：文章只关注了sTREM-1/PGLYRP1/MMP-8轴在牙周和周围种植体疾病中的表达水平，而未探讨其他可能与这些疾病相关的生物标志物或机制。这种不平等的呈现可能导致读者对该领域整体情况的误解。</w:t>
      </w:r>
    </w:p>
    <w:p>
      <w:pPr>
        <w:jc w:val="both"/>
      </w:pPr>
      <w:r>
        <w:rPr/>
        <w:t xml:space="preserve"/>
      </w:r>
    </w:p>
    <w:p>
      <w:pPr>
        <w:jc w:val="both"/>
      </w:pPr>
      <w:r>
        <w:rPr/>
        <w:t xml:space="preserve">总之，上述文章在描述sTREM-1/PGLYRP1/MMP-8轴在牙周和周围种植体疾病中的表达水平时存在一些问题和限制。需要更多的大规模临床试验和综合性研究来验证这些标记物在诊断和治疗中的实际应用价值，并全面考虑其他可能影响结果的因素。</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其他可能与周围种植体疾病相关的因素
</w:t>
      </w:r>
    </w:p>
    <w:p>
      <w:pPr>
        <w:spacing w:after="0"/>
        <w:numPr>
          <w:ilvl w:val="0"/>
          <w:numId w:val="2"/>
        </w:numPr>
      </w:pPr>
      <w:r>
        <w:rPr/>
        <w:t xml:space="preserve">缺乏足够的证据来支持sTREM-1/PGLYRP1/MMP-8轴作为有效标记物的主张
</w:t>
      </w:r>
    </w:p>
    <w:p>
      <w:pPr>
        <w:spacing w:after="0"/>
        <w:numPr>
          <w:ilvl w:val="0"/>
          <w:numId w:val="2"/>
        </w:numPr>
      </w:pPr>
      <w:r>
        <w:rPr/>
        <w:t xml:space="preserve">未考虑其他可能影响标记物表达水平的因素
</w:t>
      </w:r>
    </w:p>
    <w:p>
      <w:pPr>
        <w:spacing w:after="0"/>
        <w:numPr>
          <w:ilvl w:val="0"/>
          <w:numId w:val="2"/>
        </w:numPr>
      </w:pPr>
      <w:r>
        <w:rPr/>
        <w:t xml:space="preserve">缺乏支持牙周炎影响周围种植体疾病患者MMP-8水平的数据或分析
</w:t>
      </w:r>
    </w:p>
    <w:p>
      <w:pPr>
        <w:spacing w:after="0"/>
        <w:numPr>
          <w:ilvl w:val="0"/>
          <w:numId w:val="2"/>
        </w:numPr>
      </w:pPr>
      <w:r>
        <w:rPr/>
        <w:t xml:space="preserve">未探索与结果相矛盾的其他研究或观点
</w:t>
      </w:r>
    </w:p>
    <w:p>
      <w:pPr>
        <w:spacing w:after="0"/>
        <w:numPr>
          <w:ilvl w:val="0"/>
          <w:numId w:val="2"/>
        </w:numPr>
      </w:pPr>
      <w:r>
        <w:rPr/>
        <w:t xml:space="preserve">使用宣传性语言可能导致过度乐观的期望
</w:t>
      </w:r>
    </w:p>
    <w:p>
      <w:pPr>
        <w:spacing w:after="0"/>
        <w:numPr>
          <w:ilvl w:val="0"/>
          <w:numId w:val="2"/>
        </w:numPr>
      </w:pPr>
      <w:r>
        <w:rPr/>
        <w:t xml:space="preserve">未讨论与使用标记物相关的潜在风险
</w:t>
      </w:r>
    </w:p>
    <w:p>
      <w:pPr>
        <w:numPr>
          <w:ilvl w:val="0"/>
          <w:numId w:val="2"/>
        </w:numPr>
      </w:pPr>
      <w:r>
        <w:rPr/>
        <w:t xml:space="preserve">未探讨其他可能与牙周和周围种植体疾病相关的生物标志物或机制
通过对这些关键短语进行搜索，用户可以找到更多关于这些问题的信息，并获得更全面的理解。</w:t>
      </w:r>
    </w:p>
    <w:p>
      <w:pPr>
        <w:pStyle w:val="Heading1"/>
      </w:pPr>
      <w:bookmarkStart w:id="6" w:name="_Toc6"/>
      <w:r>
        <w:t>Report location:</w:t>
      </w:r>
      <w:bookmarkEnd w:id="6"/>
    </w:p>
    <w:p>
      <w:hyperlink r:id="rId8" w:history="1">
        <w:r>
          <w:rPr>
            <w:color w:val="2980b9"/>
            <w:u w:val="single"/>
          </w:rPr>
          <w:t xml:space="preserve">https://www.fullpicture.app/item/4928e817506d2c4ee19d19580b04bb3d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4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444693/" TargetMode="External"/><Relationship Id="rId8" Type="http://schemas.openxmlformats.org/officeDocument/2006/relationships/hyperlink" Target="https://www.fullpicture.app/item/4928e817506d2c4ee19d19580b04bb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2024-01-29T15:19:44+01:00</dcterms:created>
  <dcterms:modified xsi:type="dcterms:W3CDTF">2024-01-29T15:19:44+01:00</dcterms:modified>
</cp:coreProperties>
</file>

<file path=docProps/custom.xml><?xml version="1.0" encoding="utf-8"?>
<Properties xmlns="http://schemas.openxmlformats.org/officeDocument/2006/custom-properties" xmlns:vt="http://schemas.openxmlformats.org/officeDocument/2006/docPropsVTypes"/>
</file>