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Display Legislation</w:t></w:r><w:br/><w:hyperlink r:id="rId7" w:history="1"><w:r><w:rPr><w:color w:val="2980b9"/><w:u w:val="single"/></w:rPr><w:t xml:space="preserve">https://www.cljlaw.com/Members/DisplayAct.aspx?ActSectionId=4081728123&SearchId=8BC02725</w:t></w:r></w:hyperlink></w:p><w:p><w:pPr><w:pStyle w:val="Heading1"/></w:pPr><w:bookmarkStart w:id="2" w:name="_Toc2"/><w:r><w:t>Article summary:</w:t></w:r><w:bookmarkEnd w:id="2"/></w:p><w:p><w:pPr><w:jc w:val="both"/></w:pPr><w:r><w:rPr/><w:t xml:space="preserve">1. The legislation received Royal Assent on August 31, 2016 and was gazetted on September 15, 2016.</w:t></w:r></w:p><w:p><w:pPr><w:jc w:val="both"/></w:pPr><w:r><w:rPr/><w:t xml:space="preserve">2. The legislation came into force on various dates, with the latest being March 15, 2019 for section 241.</w:t></w:r></w:p><w:p><w:pPr><w:jc w:val="both"/></w:pPr><w:r><w:rPr/><w:t xml:space="preserve">3. The article provides links to a list of amendments, amending acts, and subsidiary legislation related to the main legislation.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The article provides information on the Display Legislation in Malaysia, including its Royal Assent date, in force date, and gazetted date. It also includes a list of amendments and links to amending acts and subsidiary legislation.</w:t></w:r></w:p><w:p><w:pPr><w:jc w:val="both"/></w:pPr><w:r><w:rPr/><w:t xml:space="preserve"></w:t></w:r></w:p><w:p><w:pPr><w:jc w:val="both"/></w:pPr><w:r><w:rPr/><w:t xml:space="preserve">However, the article lacks context and explanation for those unfamiliar with Malaysian law. It assumes prior knowledge of legal terminology and processes, which may make it difficult for laypeople to understand.</w:t></w:r></w:p><w:p><w:pPr><w:jc w:val="both"/></w:pPr><w:r><w:rPr/><w:t xml:space="preserve"></w:t></w:r></w:p><w:p><w:pPr><w:jc w:val="both"/></w:pPr><w:r><w:rPr/><w:t xml:space="preserve">Additionally, the article does not provide any analysis or commentary on the legislation itself. It simply presents factual information without any discussion of potential biases or implications.</w:t></w:r></w:p><w:p><w:pPr><w:jc w:val="both"/></w:pPr><w:r><w:rPr/><w:t xml:space="preserve"></w:t></w:r></w:p><w:p><w:pPr><w:jc w:val="both"/></w:pPr><w:r><w:rPr/><w:t xml:space="preserve">There is also no mention of any potential risks or drawbacks associated with the legislation. This one-sided reporting could be seen as promotional content for the legislation without presenting both sides equally.</w:t></w:r></w:p><w:p><w:pPr><w:jc w:val="both"/></w:pPr><w:r><w:rPr/><w:t xml:space="preserve"></w:t></w:r></w:p><w:p><w:pPr><w:jc w:val="both"/></w:pPr><w:r><w:rPr/><w:t xml:space="preserve">Overall, while the article provides useful information for those familiar with Malaysian law, it lacks context and analysis for a broader audience.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Overview of Malaysian legal system
</w:t></w:r></w:p><w:p><w:pPr><w:spacing w:after="0"/><w:numPr><w:ilvl w:val="0"/><w:numId w:val="2"/></w:numPr></w:pPr><w:r><w:rPr/><w:t xml:space="preserve">Explanation of legal terminology in Malaysia
</w:t></w:r></w:p><w:p><w:pPr><w:spacing w:after="0"/><w:numPr><w:ilvl w:val="0"/><w:numId w:val="2"/></w:numPr></w:pPr><w:r><w:rPr/><w:t xml:space="preserve">Analysis of Display Legislation in Malaysia
</w:t></w:r></w:p><w:p><w:pPr><w:spacing w:after="0"/><w:numPr><w:ilvl w:val="0"/><w:numId w:val="2"/></w:numPr></w:pPr><w:r><w:rPr/><w:t xml:space="preserve">Criticisms of Display Legislation in Malaysia
</w:t></w:r></w:p><w:p><w:pPr><w:spacing w:after="0"/><w:numPr><w:ilvl w:val="0"/><w:numId w:val="2"/></w:numPr></w:pPr><w:r><w:rPr/><w:t xml:space="preserve">Implications of Display Legislation for businesses in Malaysia
</w:t></w:r></w:p><w:p><w:pPr><w:numPr><w:ilvl w:val="0"/><w:numId w:val="2"/></w:numPr></w:pPr><w:r><w:rPr/><w:t xml:space="preserve">Comparison of Display Legislation in Malaysia with similar laws in other countries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https://www.fullpicture.app/item/4a572922c4d16032bc68ecc7f145454f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61E5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jlaw.com/Members/DisplayAct.aspx?ActSectionId=4081728123&amp;SearchId=8BC02725" TargetMode="External"/><Relationship Id="rId8" Type="http://schemas.openxmlformats.org/officeDocument/2006/relationships/hyperlink" Target="https://www.fullpicture.app/item/4a572922c4d16032bc68ecc7f145454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2023-06-06T01:26:41+02:00</dcterms:created>
  <dcterms:modified xsi:type="dcterms:W3CDTF">2023-06-06T01:26:41+02:00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