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肠道微生物群消融通过调节仓鼠胆汁酸代谢来缓解肥胖引起的肝脂肪变性和葡萄糖耐受不良 - ScienceDirect</w:t>
      </w:r>
      <w:br/>
      <w:hyperlink r:id="rId7" w:history="1">
        <w:r>
          <w:rPr>
            <w:color w:val="2980b9"/>
            <w:u w:val="single"/>
          </w:rPr>
          <w:t xml:space="preserve">https://www.sciencedirect.com/science/article/pii/S221138351830652X?via%3Dihub=</w:t>
        </w:r>
      </w:hyperlink>
    </w:p>
    <w:p>
      <w:pPr>
        <w:pStyle w:val="Heading1"/>
      </w:pPr>
      <w:bookmarkStart w:id="2" w:name="_Toc2"/>
      <w:r>
        <w:t>Article summary:</w:t>
      </w:r>
      <w:bookmarkEnd w:id="2"/>
    </w:p>
    <w:p>
      <w:pPr>
        <w:jc w:val="both"/>
      </w:pPr>
      <w:r>
        <w:rPr/>
        <w:t xml:space="preserve">1. 肠道微生物群与代谢疾病有关，包括肥胖症、胰岛素抵抗和非酒精性脂肪性肝病（NAFLD）。</w:t>
      </w:r>
    </w:p>
    <w:p>
      <w:pPr>
        <w:jc w:val="both"/>
      </w:pPr>
      <w:r>
        <w:rPr/>
        <w:t xml:space="preserve">2. 膳食营养素是宿主日常生活中重塑肠道微生物群的主要驱动力。</w:t>
      </w:r>
    </w:p>
    <w:p>
      <w:pPr>
        <w:jc w:val="both"/>
      </w:pPr>
      <w:r>
        <w:rPr/>
        <w:t xml:space="preserve">3. 肠道菌群失衡与患有肥胖和2型糖尿病的患者胆汁酸代谢的病理变化之间存在联系。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文只提供了文章的摘要部分，无法对其进行详细的批判性分析。需要更多的信息和数据来评估文章是否存在潜在偏见、片面报道、无根据的主张、缺失的考虑点、所提出主张的缺失证据、未探索的反驳、宣传内容，偏袒，是否注意到可能的风险，没有平等地呈现双方等问题。</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Potential biases in the article
</w:t>
      </w:r>
    </w:p>
    <w:p>
      <w:pPr>
        <w:spacing w:after="0"/>
        <w:numPr>
          <w:ilvl w:val="0"/>
          <w:numId w:val="2"/>
        </w:numPr>
      </w:pPr>
      <w:r>
        <w:rPr/>
        <w:t xml:space="preserve">Missing evidence to support claims
</w:t>
      </w:r>
    </w:p>
    <w:p>
      <w:pPr>
        <w:spacing w:after="0"/>
        <w:numPr>
          <w:ilvl w:val="0"/>
          <w:numId w:val="2"/>
        </w:numPr>
      </w:pPr>
      <w:r>
        <w:rPr/>
        <w:t xml:space="preserve">Unexplored counterarguments
</w:t>
      </w:r>
    </w:p>
    <w:p>
      <w:pPr>
        <w:spacing w:after="0"/>
        <w:numPr>
          <w:ilvl w:val="0"/>
          <w:numId w:val="2"/>
        </w:numPr>
      </w:pPr>
      <w:r>
        <w:rPr/>
        <w:t xml:space="preserve">Consideration of potential risks
</w:t>
      </w:r>
    </w:p>
    <w:p>
      <w:pPr>
        <w:numPr>
          <w:ilvl w:val="0"/>
          <w:numId w:val="2"/>
        </w:numPr>
      </w:pPr>
      <w:r>
        <w:rPr/>
        <w:t xml:space="preserve">Balanced presentation of both sides</w:t>
      </w:r>
    </w:p>
    <w:p>
      <w:pPr>
        <w:pStyle w:val="Heading1"/>
      </w:pPr>
      <w:bookmarkStart w:id="6" w:name="_Toc6"/>
      <w:r>
        <w:t>Report location:</w:t>
      </w:r>
      <w:bookmarkEnd w:id="6"/>
    </w:p>
    <w:p>
      <w:hyperlink r:id="rId8" w:history="1">
        <w:r>
          <w:rPr>
            <w:color w:val="2980b9"/>
            <w:u w:val="single"/>
          </w:rPr>
          <w:t xml:space="preserve">https://www.fullpicture.app/item/4ae7204f260aa1b8bb84915fc3f94c7a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F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38351830652X?via%3Dihub=" TargetMode="External"/><Relationship Id="rId8" Type="http://schemas.openxmlformats.org/officeDocument/2006/relationships/hyperlink" Target="https://www.fullpicture.app/item/4ae7204f260aa1b8bb84915fc3f94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2023-12-29T03:55:50+01:00</dcterms:created>
  <dcterms:modified xsi:type="dcterms:W3CDTF">2023-12-29T03:55:50+01:00</dcterms:modified>
</cp:coreProperties>
</file>

<file path=docProps/custom.xml><?xml version="1.0" encoding="utf-8"?>
<Properties xmlns="http://schemas.openxmlformats.org/officeDocument/2006/custom-properties" xmlns:vt="http://schemas.openxmlformats.org/officeDocument/2006/docPropsVTypes"/>
</file>