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Thioredoxin and glutaredoxin regulate metabolism through different multiplex thiol switches - PMC</w:t>
      </w:r>
      <w:br/>
      <w:hyperlink r:id="rId7" w:history="1">
        <w:r>
          <w:rPr>
            <w:color w:val="2980b9"/>
            <w:u w:val="single"/>
          </w:rPr>
          <w:t xml:space="preserve">https://www.ncbi.nlm.nih.gov/pmc/articles/PMC6327914/</w:t>
        </w:r>
      </w:hyperlink>
    </w:p>
    <w:p>
      <w:pPr>
        <w:pStyle w:val="Heading1"/>
      </w:pPr>
      <w:bookmarkStart w:id="2" w:name="_Toc2"/>
      <w:r>
        <w:t>Article summary:</w:t>
      </w:r>
      <w:bookmarkEnd w:id="2"/>
    </w:p>
    <w:p>
      <w:pPr>
        <w:jc w:val="both"/>
      </w:pPr>
      <w:r>
        <w:rPr/>
        <w:t xml:space="preserve">1. The aim of the study was to define the role of thioredoxin (Trx) and glutaredoxin (Grx) on metabolic thiol redox regulation and identify their protein and metabolite targets.</w:t>
      </w:r>
    </w:p>
    <w:p>
      <w:pPr>
        <w:jc w:val="both"/>
      </w:pPr>
      <w:r>
        <w:rPr/>
        <w:t xml:space="preserve">2. Trx1 and Grx1 silencing caused changes in the reduced/oxidized ratios of specific cysteines, including several glycolytic enzymes.</w:t>
      </w:r>
    </w:p>
    <w:p>
      <w:pPr>
        <w:jc w:val="both"/>
      </w:pPr>
      <w:r>
        <w:rPr/>
        <w:t xml:space="preserve">3. Down regulation of either redoxin had markedly different metabolic outcomes, reflecting the delicate sensitivity of redox equilibrium to changes in any of the elements involved.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“Thioredoxin and Glutaredoxin Regulate Metabolism Through Different Multiplex Thiol Switches” is a well-researched piece that provides an in-depth analysis into how Trx and Grx regulate metabolism through different multiplex thiol switches. The authors provide a comprehensive overview of their research methods, results, and conclusions, making it easy for readers to understand the implications of their findings. </w:t>
      </w:r>
    </w:p>
    <w:p>
      <w:pPr>
        <w:jc w:val="both"/>
      </w:pPr>
      <w:r>
        <w:rPr/>
        <w:t xml:space="preserve">The article is reliable in its presentation of evidence for its claims, as it cites numerous studies from reputable sources throughout its text. Additionally, the authors provide detailed descriptions of their research methods, which allows readers to assess the validity of their results. Furthermore, they discuss potential limitations to their study such as cell line specificity and lack of direct evidence for some claims made in the paper. This demonstrates that they are aware of potential biases or errors that could have been present in their work and have taken steps to address them accordingly. </w:t>
      </w:r>
    </w:p>
    <w:p>
      <w:pPr>
        <w:jc w:val="both"/>
      </w:pPr>
      <w:r>
        <w:rPr/>
        <w:t xml:space="preserve">The article does not appear to be biased or one-sided in its reporting; rather, it presents both sides equally by discussing both positive and negative implications for each finding presented throughout its text. Additionally, it does not contain any promotional content or partiality towards any particular viewpoint or opinion; instead, it focuses solely on presenting factual information about its topic without attempting to sway readers towards any particular conclusion or opinion. </w:t>
      </w:r>
    </w:p>
    <w:p>
      <w:pPr>
        <w:jc w:val="both"/>
      </w:pPr>
      <w:r>
        <w:rPr/>
        <w:t xml:space="preserve">In conclusion, this article is trustworthy and reliable due to its comprehensive coverage of evidence from reputable sources as well as its balanced presentation of both sides without any promotional content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Thiol switch mechanism</w:t>
      </w:r>
    </w:p>
    <w:p>
      <w:pPr>
        <w:spacing w:after="0"/>
        <w:numPr>
          <w:ilvl w:val="0"/>
          <w:numId w:val="2"/>
        </w:numPr>
      </w:pPr>
      <w:r>
        <w:rPr/>
        <w:t xml:space="preserve">Metabolic regulation</w:t>
      </w:r>
    </w:p>
    <w:p>
      <w:pPr>
        <w:spacing w:after="0"/>
        <w:numPr>
          <w:ilvl w:val="0"/>
          <w:numId w:val="2"/>
        </w:numPr>
      </w:pPr>
      <w:r>
        <w:rPr/>
        <w:t xml:space="preserve">Thioredoxin structure</w:t>
      </w:r>
    </w:p>
    <w:p>
      <w:pPr>
        <w:spacing w:after="0"/>
        <w:numPr>
          <w:ilvl w:val="0"/>
          <w:numId w:val="2"/>
        </w:numPr>
      </w:pPr>
      <w:r>
        <w:rPr/>
        <w:t xml:space="preserve">Glutaredoxin function</w:t>
      </w:r>
    </w:p>
    <w:p>
      <w:pPr>
        <w:spacing w:after="0"/>
        <w:numPr>
          <w:ilvl w:val="0"/>
          <w:numId w:val="2"/>
        </w:numPr>
      </w:pPr>
      <w:r>
        <w:rPr/>
        <w:t xml:space="preserve">Metabolic pathways</w:t>
      </w:r>
    </w:p>
    <w:p>
      <w:pPr>
        <w:numPr>
          <w:ilvl w:val="0"/>
          <w:numId w:val="2"/>
        </w:numPr>
      </w:pPr>
      <w:r>
        <w:rPr/>
        <w:t xml:space="preserve">Thiol-based redox regulation</w:t>
      </w:r>
    </w:p>
    <w:p>
      <w:pPr>
        <w:pStyle w:val="Heading1"/>
      </w:pPr>
      <w:bookmarkStart w:id="6" w:name="_Toc6"/>
      <w:r>
        <w:t>Report location:</w:t>
      </w:r>
      <w:bookmarkEnd w:id="6"/>
    </w:p>
    <w:p>
      <w:hyperlink r:id="rId8" w:history="1">
        <w:r>
          <w:rPr>
            <w:color w:val="2980b9"/>
            <w:u w:val="single"/>
          </w:rPr>
          <w:t xml:space="preserve">https://www.fullpicture.app/item/4b810bd79a84acc8232070388779d64e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E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327914/" TargetMode="External"/><Relationship Id="rId8" Type="http://schemas.openxmlformats.org/officeDocument/2006/relationships/hyperlink" Target="https://www.fullpicture.app/item/4b810bd79a84acc8232070388779d6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2023-03-06T21:39:46+01:00</dcterms:created>
  <dcterms:modified xsi:type="dcterms:W3CDTF">2023-03-06T21:39:46+01:00</dcterms:modified>
</cp:coreProperties>
</file>

<file path=docProps/custom.xml><?xml version="1.0" encoding="utf-8"?>
<Properties xmlns="http://schemas.openxmlformats.org/officeDocument/2006/custom-properties" xmlns:vt="http://schemas.openxmlformats.org/officeDocument/2006/docPropsVTypes"/>
</file>