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PC1616, PC1832, PC1864, PC585, PC1565-2P, PC5010, PC5020 BILLENTYŰZETEK PC1555RKZ - PDF Free Download</w:t>
      </w:r>
      <w:br/>
      <w:hyperlink r:id="rId7" w:history="1">
        <w:r>
          <w:rPr>
            <w:color w:val="2980b9"/>
            <w:u w:val="single"/>
          </w:rPr>
          <w:t xml:space="preserve">https://docplayer.hu/9118624-Pc1616-pc1832-pc1864-pc585-pc1565-2p-pc5010-pc5020-billentyuzetek-pc1555rkz.html</w:t>
        </w:r>
      </w:hyperlink>
    </w:p>
    <w:p>
      <w:pPr>
        <w:pStyle w:val="Heading1"/>
      </w:pPr>
      <w:bookmarkStart w:id="2" w:name="_Toc2"/>
      <w:r>
        <w:t>Article summary:</w:t>
      </w:r>
      <w:bookmarkEnd w:id="2"/>
    </w:p>
    <w:p>
      <w:pPr>
        <w:jc w:val="both"/>
      </w:pPr>
      <w:r>
        <w:rPr/>
        <w:t xml:space="preserve">1. A cikk információkat tartalmaz a PC1616, PC1832, PC1864, PC585, PC1565-2P, PC5010 és PC5020 billentyűzetek használatával és működésével kapcsolatos megkötésekről.</w:t>
      </w:r>
    </w:p>
    <w:p>
      <w:pPr>
        <w:jc w:val="both"/>
      </w:pPr>
      <w:r>
        <w:rPr/>
        <w:t xml:space="preserve">2. A funkcióbillentyűk programozhatóak, és lehetővé teszik a partícióváltást.</w:t>
      </w:r>
    </w:p>
    <w:p>
      <w:pPr>
        <w:jc w:val="both"/>
      </w:pPr>
      <w:r>
        <w:rPr/>
        <w:t xml:space="preserve">3. Az LCD-as billentyűzetek feliratai a füzetben találhatóak.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 cikk megbízhatónak tekinthető az általa nyújtott információk tekintetében. A szerző részletesen ismerteti a különböző billentyűzetek használatának módjait és funkcióit, valamint azok programozásának lehetőségeit. Az állítások alaposan dokumentáltak és bizonyítottak, ami segíti az olvasókat abban, hogy megértsék a rendszer működését.</w:t>
      </w:r>
    </w:p>
    <w:p>
      <w:pPr>
        <w:jc w:val="both"/>
      </w:pPr>
      <w:r>
        <w:rPr/>
        <w:t xml:space="preserve">Az egyoldalú beszámolón kívül nincsenek torzítások vagy alá nem támasztott állítások a cikkben. Minden fontos információ elérhető benne, beleértve a felhasználói kézikönyvet is. A szerkesztett verziónak köszönhetően hiányzik néhány fontos szempont vagy ellenérv; például nem említi meg az esetleges veszélyeket vagy kockázatokat sem. Ugyanakkor minden fontos információ elérhető benne, amely segítheti az olvasókat abban, hogy jobban megértsék a rendszer működését és hasznossa legyen számukra.</w:t>
      </w:r>
    </w:p>
    <w:p>
      <w:pPr>
        <w:pStyle w:val="Heading1"/>
      </w:pPr>
      <w:bookmarkStart w:id="5" w:name="_Toc5"/>
      <w:r>
        <w:t>Topics for further research:</w:t>
      </w:r>
      <w:bookmarkEnd w:id="5"/>
    </w:p>
    <w:p>
      <w:pPr>
        <w:spacing w:after="0"/>
        <w:numPr>
          <w:ilvl w:val="0"/>
          <w:numId w:val="2"/>
        </w:numPr>
      </w:pPr>
      <w:r>
        <w:rPr/>
        <w:t xml:space="preserve">Billentyűzet programozás</w:t>
      </w:r>
    </w:p>
    <w:p>
      <w:pPr>
        <w:spacing w:after="0"/>
        <w:numPr>
          <w:ilvl w:val="0"/>
          <w:numId w:val="2"/>
        </w:numPr>
      </w:pPr>
      <w:r>
        <w:rPr/>
        <w:t xml:space="preserve">Billentyűzet funkciók</w:t>
      </w:r>
    </w:p>
    <w:p>
      <w:pPr>
        <w:spacing w:after="0"/>
        <w:numPr>
          <w:ilvl w:val="0"/>
          <w:numId w:val="2"/>
        </w:numPr>
      </w:pPr>
      <w:r>
        <w:rPr/>
        <w:t xml:space="preserve">Billentyűzet használat</w:t>
      </w:r>
    </w:p>
    <w:p>
      <w:pPr>
        <w:spacing w:after="0"/>
        <w:numPr>
          <w:ilvl w:val="0"/>
          <w:numId w:val="2"/>
        </w:numPr>
      </w:pPr>
      <w:r>
        <w:rPr/>
        <w:t xml:space="preserve">Billentyűzet vezérlés</w:t>
      </w:r>
    </w:p>
    <w:p>
      <w:pPr>
        <w:spacing w:after="0"/>
        <w:numPr>
          <w:ilvl w:val="0"/>
          <w:numId w:val="2"/>
        </w:numPr>
      </w:pPr>
      <w:r>
        <w:rPr/>
        <w:t xml:space="preserve">Billentyűzet konfiguráció</w:t>
      </w:r>
    </w:p>
    <w:p>
      <w:pPr>
        <w:numPr>
          <w:ilvl w:val="0"/>
          <w:numId w:val="2"/>
        </w:numPr>
      </w:pPr>
      <w:r>
        <w:rPr/>
        <w:t xml:space="preserve">Billentyűzet biztonság</w:t>
      </w:r>
    </w:p>
    <w:p>
      <w:pPr>
        <w:pStyle w:val="Heading1"/>
      </w:pPr>
      <w:bookmarkStart w:id="6" w:name="_Toc6"/>
      <w:r>
        <w:t>Report location:</w:t>
      </w:r>
      <w:bookmarkEnd w:id="6"/>
    </w:p>
    <w:p>
      <w:hyperlink r:id="rId8" w:history="1">
        <w:r>
          <w:rPr>
            <w:color w:val="2980b9"/>
            <w:u w:val="single"/>
          </w:rPr>
          <w:t xml:space="preserve">https://www.fullpicture.app/item/4bc002d9a72ce15ea88298969933817b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67F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cplayer.hu/9118624-Pc1616-pc1832-pc1864-pc585-pc1565-2p-pc5010-pc5020-billentyuzetek-pc1555rkz.html" TargetMode="External"/><Relationship Id="rId8" Type="http://schemas.openxmlformats.org/officeDocument/2006/relationships/hyperlink" Target="https://www.fullpicture.app/item/4bc002d9a72ce15ea8829896993381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2023-02-25T15:41:56+01:00</dcterms:created>
  <dcterms:modified xsi:type="dcterms:W3CDTF">2023-02-25T15:41:56+01:00</dcterms:modified>
</cp:coreProperties>
</file>

<file path=docProps/custom.xml><?xml version="1.0" encoding="utf-8"?>
<Properties xmlns="http://schemas.openxmlformats.org/officeDocument/2006/custom-properties" xmlns:vt="http://schemas.openxmlformats.org/officeDocument/2006/docPropsVTypes"/>
</file>