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Choosing PD-1 Inhibitors in Oncology Setting, Left or Right?—Lessons From Value Assessment With ASCO-VF and ESMO-MCBS</w:t>
      </w:r>
      <w:br/>
      <w:hyperlink r:id="rId7" w:history="1">
        <w:r>
          <w:rPr>
            <w:color w:val="2980b9"/>
            <w:u w:val="single"/>
          </w:rPr>
          <w:t xml:space="preserve">https://www.frontiersin.org/articles/10.3389/fphar.2020.574511/full</w:t>
        </w:r>
      </w:hyperlink>
    </w:p>
    <w:p>
      <w:pPr>
        <w:pStyle w:val="Heading1"/>
      </w:pPr>
      <w:bookmarkStart w:id="2" w:name="_Toc2"/>
      <w:r>
        <w:t>Article summary:</w:t>
      </w:r>
      <w:bookmarkEnd w:id="2"/>
    </w:p>
    <w:p>
      <w:pPr>
        <w:jc w:val="both"/>
      </w:pPr>
      <w:r>
        <w:rPr/>
        <w:t xml:space="preserve">1. The rising prices of targeted drugs and immunotherapies in oncology have raised concerns about whether their value is commensurate with their cost.</w:t>
      </w:r>
    </w:p>
    <w:p>
      <w:pPr>
        <w:jc w:val="both"/>
      </w:pPr>
      <w:r>
        <w:rPr/>
        <w:t xml:space="preserve">2. The American Society of Clinical Oncology (ASCO) and the European Society for Medical Oncology (ESMO) have proposed frameworks for assessing the value of anticancer drugs, but there is limited research on their application.</w:t>
      </w:r>
    </w:p>
    <w:p>
      <w:pPr>
        <w:jc w:val="both"/>
      </w:pPr>
      <w:r>
        <w:rPr/>
        <w:t xml:space="preserve">3. This study aims to assess the value of PD-1 inhibitors (nivolumab and pembrolizumab) using ASCO-VF and ESMO-MCBS frameworks in a cohort of randomized controlled trials, providing insights into the association between these two frameworks for clinicians making clinical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这篇文章主要讨论了在肿瘤学领域选择PD-1抑制剂的问题，并介绍了ASCO-VF和ESMO-MCBS两个评估价值的框架。然而，文章存在一些潜在的偏见和问题。</w:t>
      </w:r>
    </w:p>
    <w:p>
      <w:pPr>
        <w:jc w:val="both"/>
      </w:pPr>
      <w:r>
        <w:rPr/>
        <w:t xml:space="preserve"/>
      </w:r>
    </w:p>
    <w:p>
      <w:pPr>
        <w:jc w:val="both"/>
      </w:pPr>
      <w:r>
        <w:rPr/>
        <w:t xml:space="preserve">首先，文章提到创新疗法的涌入对肿瘤学产生了重大影响，但没有提及其他治疗方法的进展。这可能导致读者对其他治疗选择的认识不足。</w:t>
      </w:r>
    </w:p>
    <w:p>
      <w:pPr>
        <w:jc w:val="both"/>
      </w:pPr>
      <w:r>
        <w:rPr/>
        <w:t xml:space="preserve"/>
      </w:r>
    </w:p>
    <w:p>
      <w:pPr>
        <w:jc w:val="both"/>
      </w:pPr>
      <w:r>
        <w:rPr/>
        <w:t xml:space="preserve">其次，文章强调了药物价格上涨对于其价值是否相符的担忧，但没有提供具体数据或证据来支持这一观点。此外，文章没有探讨药物价格上涨的原因和解决方案。</w:t>
      </w:r>
    </w:p>
    <w:p>
      <w:pPr>
        <w:jc w:val="both"/>
      </w:pPr>
      <w:r>
        <w:rPr/>
        <w:t xml:space="preserve"/>
      </w:r>
    </w:p>
    <w:p>
      <w:pPr>
        <w:jc w:val="both"/>
      </w:pPr>
      <w:r>
        <w:rPr/>
        <w:t xml:space="preserve">此外，文章只关注了PD-1抑制剂的价值评估，并未考虑其他治疗方法或药物。这可能导致读者对整个肿瘤治疗领域的认识不全面。</w:t>
      </w:r>
    </w:p>
    <w:p>
      <w:pPr>
        <w:jc w:val="both"/>
      </w:pPr>
      <w:r>
        <w:rPr/>
        <w:t xml:space="preserve"/>
      </w:r>
    </w:p>
    <w:p>
      <w:pPr>
        <w:jc w:val="both"/>
      </w:pPr>
      <w:r>
        <w:rPr/>
        <w:t xml:space="preserve">另外，文章提到只有少数几篇报告关注了ASCO-VF和ESMO-MCBS两个评估框架的应用，并且并未详细介绍这些报告中得出的结论。这使得读者无法全面了解这两个框架在实际应用中的效果和局限性。</w:t>
      </w:r>
    </w:p>
    <w:p>
      <w:pPr>
        <w:jc w:val="both"/>
      </w:pPr>
      <w:r>
        <w:rPr/>
        <w:t xml:space="preserve"/>
      </w:r>
    </w:p>
    <w:p>
      <w:pPr>
        <w:jc w:val="both"/>
      </w:pPr>
      <w:r>
        <w:rPr/>
        <w:t xml:space="preserve">最后，文章没有提供对于ASCO-VF和ESMO-MCBS评估框架的批判性分析。这使得读者无法了解这些框架的优点和缺点，以及它们是否适用于所有类型的肿瘤治疗。</w:t>
      </w:r>
    </w:p>
    <w:p>
      <w:pPr>
        <w:jc w:val="both"/>
      </w:pPr>
      <w:r>
        <w:rPr/>
        <w:t xml:space="preserve"/>
      </w:r>
    </w:p>
    <w:p>
      <w:pPr>
        <w:jc w:val="both"/>
      </w:pPr>
      <w:r>
        <w:rPr/>
        <w:t xml:space="preserve">综上所述，这篇文章存在一些潜在的偏见和问题，包括片面报道、缺乏证据支持、忽略其他治疗方法、未探讨评估框架的局限性等。为了提高文章的可信度和客观性，作者应该提供更多的数据和证据，并全面考虑肿瘤治疗领域的各个方面。</w:t>
      </w:r>
    </w:p>
    <w:p>
      <w:pPr>
        <w:pStyle w:val="Heading1"/>
      </w:pPr>
      <w:bookmarkStart w:id="5" w:name="_Toc5"/>
      <w:r>
        <w:t>Topics for further research:</w:t>
      </w:r>
      <w:bookmarkEnd w:id="5"/>
    </w:p>
    <w:p>
      <w:pPr>
        <w:spacing w:after="0"/>
        <w:numPr>
          <w:ilvl w:val="0"/>
          <w:numId w:val="2"/>
        </w:numPr>
      </w:pPr>
      <w:r>
        <w:rPr/>
        <w:t xml:space="preserve">其他肿瘤治疗方法的进展
</w:t>
      </w:r>
    </w:p>
    <w:p>
      <w:pPr>
        <w:spacing w:after="0"/>
        <w:numPr>
          <w:ilvl w:val="0"/>
          <w:numId w:val="2"/>
        </w:numPr>
      </w:pPr>
      <w:r>
        <w:rPr/>
        <w:t xml:space="preserve">药物价格上涨的原因和解决方案
</w:t>
      </w:r>
    </w:p>
    <w:p>
      <w:pPr>
        <w:spacing w:after="0"/>
        <w:numPr>
          <w:ilvl w:val="0"/>
          <w:numId w:val="2"/>
        </w:numPr>
      </w:pPr>
      <w:r>
        <w:rPr/>
        <w:t xml:space="preserve">其他治疗方法或药物的价值评估
</w:t>
      </w:r>
    </w:p>
    <w:p>
      <w:pPr>
        <w:spacing w:after="0"/>
        <w:numPr>
          <w:ilvl w:val="0"/>
          <w:numId w:val="2"/>
        </w:numPr>
      </w:pPr>
      <w:r>
        <w:rPr/>
        <w:t xml:space="preserve">ASCO-VF和ESMO-MCBS评估框架的应用效果和局限性
</w:t>
      </w:r>
    </w:p>
    <w:p>
      <w:pPr>
        <w:spacing w:after="0"/>
        <w:numPr>
          <w:ilvl w:val="0"/>
          <w:numId w:val="2"/>
        </w:numPr>
      </w:pPr>
      <w:r>
        <w:rPr/>
        <w:t xml:space="preserve">ASCO-VF和ESMO-MCBS评估框架的优点和缺点
</w:t>
      </w:r>
    </w:p>
    <w:p>
      <w:pPr>
        <w:numPr>
          <w:ilvl w:val="0"/>
          <w:numId w:val="2"/>
        </w:numPr>
      </w:pPr>
      <w:r>
        <w:rPr/>
        <w:t xml:space="preserve">肿瘤治疗领域的全面考虑</w:t>
      </w:r>
    </w:p>
    <w:p>
      <w:pPr>
        <w:pStyle w:val="Heading1"/>
      </w:pPr>
      <w:bookmarkStart w:id="6" w:name="_Toc6"/>
      <w:r>
        <w:t>Report location:</w:t>
      </w:r>
      <w:bookmarkEnd w:id="6"/>
    </w:p>
    <w:p>
      <w:hyperlink r:id="rId8" w:history="1">
        <w:r>
          <w:rPr>
            <w:color w:val="2980b9"/>
            <w:u w:val="single"/>
          </w:rPr>
          <w:t xml:space="preserve">https://www.fullpicture.app/item/4c8bf977102a92ff6b20b15bd3e2876b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C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har.2020.574511/full" TargetMode="External"/><Relationship Id="rId8" Type="http://schemas.openxmlformats.org/officeDocument/2006/relationships/hyperlink" Target="https://www.fullpicture.app/item/4c8bf977102a92ff6b20b15bd3e28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2024-04-02T17:57:46+02:00</dcterms:created>
  <dcterms:modified xsi:type="dcterms:W3CDTF">2024-04-02T17:57:46+02:00</dcterms:modified>
</cp:coreProperties>
</file>

<file path=docProps/custom.xml><?xml version="1.0" encoding="utf-8"?>
<Properties xmlns="http://schemas.openxmlformats.org/officeDocument/2006/custom-properties" xmlns:vt="http://schemas.openxmlformats.org/officeDocument/2006/docPropsVTypes"/>
</file>