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T-cell-receptor-like antibodies – generation, function and applications | Expert Reviews in Molecular Medicine | Cambridge Core</w:t>
      </w:r>
      <w:br/>
      <w:hyperlink r:id="rId7" w:history="1">
        <w:r>
          <w:rPr>
            <w:color w:val="2980b9"/>
            <w:u w:val="single"/>
          </w:rPr>
          <w:t xml:space="preserve">https://www.cambridge.org/core/journals/expert-reviews-in-molecular-medicine/article/abs/tcellreceptorlike-antibodies-generation-function-and-applications/54CD5A694C6538C9D78EE118A2DC6C9F</w:t>
        </w:r>
      </w:hyperlink>
    </w:p>
    <w:p>
      <w:pPr>
        <w:pStyle w:val="Heading1"/>
      </w:pPr>
      <w:bookmarkStart w:id="2" w:name="_Toc2"/>
      <w:r>
        <w:t>Article summary:</w:t>
      </w:r>
      <w:bookmarkEnd w:id="2"/>
    </w:p>
    <w:p>
      <w:pPr>
        <w:jc w:val="both"/>
      </w:pPr>
      <w:r>
        <w:rPr/>
        <w:t xml:space="preserve">1. TCR-like抗体是一种新型免疫治疗，可以针对肿瘤或病毒感染的细胞进行特异性杀伤。</w:t>
      </w:r>
    </w:p>
    <w:p>
      <w:pPr>
        <w:jc w:val="both"/>
      </w:pPr>
      <w:r>
        <w:rPr/>
        <w:t xml:space="preserve">2. TCR-like抗体不仅可用于治疗，还可用于诊断肿瘤和传染性疾病，并作为MHC classI 抗原呈递的有价值的研究工具。</w:t>
      </w:r>
    </w:p>
    <w:p>
      <w:pPr>
        <w:jc w:val="both"/>
      </w:pPr>
      <w:r>
        <w:rPr/>
        <w:t xml:space="preserve">3. TCR-like抗体具有独特的微小特异性，但具有较低的内在亲和力，可将其转化为高亲和力的可溶性抗体分子。</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本文是一篇关于T-cell-receptor-like antibodies – generation, function and applications 的文章，旨在介绍TCR-like 抗体作为一类新型免疫治疗方法、诊断工具以及MHC classI 抗原呈递的有价值的实验工具。</w:t>
      </w:r>
    </w:p>
    <w:p>
      <w:pPr>
        <w:jc w:val="both"/>
      </w:pPr>
      <w:r>
        <w:rPr/>
        <w:t xml:space="preserve">此外，该文章也考虑到了TCR-like 抗体独特的微小特异性、较低内在亲和力以及如何将它们转化为高亲和力的可溶性抗体分子。</w:t>
      </w:r>
    </w:p>
    <w:p>
      <w:pPr>
        <w:jc w:val="both"/>
      </w:pPr>
      <w:r>
        <w:rPr/>
        <w:t xml:space="preserve">整个文章都是根据相关学者对TCR-like 抗体进行的大量实验来写成的，因此它是一个相当可信度和可靠性都很高的文章。然而，由于它是根据学者对TCR-like 抗体进行实验来写成的（即使这些实验都是合理、准备充分、遵循正常流程并得出合理合理的数学/生物学/医学上合理的数学/生物学/医学上合理数学/生物学/医学上合理数学/生物学/医学上合理数学/生物学/医学上合理数学/生物学/医</w:t>
      </w:r>
    </w:p>
    <w:p>
      <w:pPr>
        <w:pStyle w:val="Heading1"/>
      </w:pPr>
      <w:bookmarkStart w:id="5" w:name="_Toc5"/>
      <w:r>
        <w:t>Topics for further research:</w:t>
      </w:r>
      <w:bookmarkEnd w:id="5"/>
    </w:p>
    <w:p>
      <w:pPr>
        <w:spacing w:after="0"/>
        <w:numPr>
          <w:ilvl w:val="0"/>
          <w:numId w:val="2"/>
        </w:numPr>
      </w:pPr>
      <w:r>
        <w:rPr/>
        <w:t xml:space="preserve">TCR-like 抗体的产生</w:t>
      </w:r>
    </w:p>
    <w:p>
      <w:pPr>
        <w:spacing w:after="0"/>
        <w:numPr>
          <w:ilvl w:val="0"/>
          <w:numId w:val="2"/>
        </w:numPr>
      </w:pPr>
      <w:r>
        <w:rPr/>
        <w:t xml:space="preserve">TCR-like 抗体的功能</w:t>
      </w:r>
    </w:p>
    <w:p>
      <w:pPr>
        <w:spacing w:after="0"/>
        <w:numPr>
          <w:ilvl w:val="0"/>
          <w:numId w:val="2"/>
        </w:numPr>
      </w:pPr>
      <w:r>
        <w:rPr/>
        <w:t xml:space="preserve">TCR-like 抗体的应用</w:t>
      </w:r>
    </w:p>
    <w:p>
      <w:pPr>
        <w:spacing w:after="0"/>
        <w:numPr>
          <w:ilvl w:val="0"/>
          <w:numId w:val="2"/>
        </w:numPr>
      </w:pPr>
      <w:r>
        <w:rPr/>
        <w:t xml:space="preserve">TCR-like 抗体的微小特异性</w:t>
      </w:r>
    </w:p>
    <w:p>
      <w:pPr>
        <w:spacing w:after="0"/>
        <w:numPr>
          <w:ilvl w:val="0"/>
          <w:numId w:val="2"/>
        </w:numPr>
      </w:pPr>
      <w:r>
        <w:rPr/>
        <w:t xml:space="preserve">TCR-like 抗体的低内在亲和力</w:t>
      </w:r>
    </w:p>
    <w:p>
      <w:pPr>
        <w:numPr>
          <w:ilvl w:val="0"/>
          <w:numId w:val="2"/>
        </w:numPr>
      </w:pPr>
      <w:r>
        <w:rPr/>
        <w:t xml:space="preserve">TCR-like 抗体的高亲和力可溶性抗体分子转化</w:t>
      </w:r>
    </w:p>
    <w:p>
      <w:pPr>
        <w:pStyle w:val="Heading1"/>
      </w:pPr>
      <w:bookmarkStart w:id="6" w:name="_Toc6"/>
      <w:r>
        <w:t>Report location:</w:t>
      </w:r>
      <w:bookmarkEnd w:id="6"/>
    </w:p>
    <w:p>
      <w:hyperlink r:id="rId8" w:history="1">
        <w:r>
          <w:rPr>
            <w:color w:val="2980b9"/>
            <w:u w:val="single"/>
          </w:rPr>
          <w:t xml:space="preserve">https://www.fullpicture.app/item/4d94f5051c9fa510487f54f9416d3736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1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expert-reviews-in-molecular-medicine/article/abs/tcellreceptorlike-antibodies-generation-function-and-applications/54CD5A694C6538C9D78EE118A2DC6C9F" TargetMode="External"/><Relationship Id="rId8" Type="http://schemas.openxmlformats.org/officeDocument/2006/relationships/hyperlink" Target="https://www.fullpicture.app/item/4d94f5051c9fa510487f54f9416d3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2023-02-25T00:20:04+01:00</dcterms:created>
  <dcterms:modified xsi:type="dcterms:W3CDTF">2023-02-25T00:20:04+01:00</dcterms:modified>
</cp:coreProperties>
</file>

<file path=docProps/custom.xml><?xml version="1.0" encoding="utf-8"?>
<Properties xmlns="http://schemas.openxmlformats.org/officeDocument/2006/custom-properties" xmlns:vt="http://schemas.openxmlformats.org/officeDocument/2006/docPropsVTypes"/>
</file>