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洪灝：从贸易盈余到市场复苏 – GROW Investment Group</w:t>
      </w:r>
      <w:br/>
      <w:hyperlink r:id="rId7" w:history="1">
        <w:r>
          <w:rPr>
            <w:color w:val="2980b9"/>
            <w:u w:val="single"/>
          </w:rPr>
          <w:t xml:space="preserve">https://growinvestment.group/2023/02/20/%e6%b4%aa%e7%81%9d%ef%bc%9a%e6%98%af%e6%ad%bb%e7%8c%ab%e8%b7%b3%ef%bc%8c%e8%bf%98%e6%98%af%e7%89%9b%e5%9b%9e%e5%a4%b4%ef%bc%9f-2/</w:t>
        </w:r>
      </w:hyperlink>
    </w:p>
    <w:p>
      <w:pPr>
        <w:pStyle w:val="Heading1"/>
      </w:pPr>
      <w:bookmarkStart w:id="2" w:name="_Toc2"/>
      <w:r>
        <w:t>Article summary:</w:t>
      </w:r>
      <w:bookmarkEnd w:id="2"/>
    </w:p>
    <w:p>
      <w:pPr>
        <w:jc w:val="both"/>
      </w:pPr>
      <w:r>
        <w:rPr/>
        <w:t xml:space="preserve">1. The record-low new FX settlement surplus indicates that an increase in RMB liquidity is imminent in the coming months.</w:t>
      </w:r>
    </w:p>
    <w:p>
      <w:pPr>
        <w:jc w:val="both"/>
      </w:pPr>
      <w:r>
        <w:rPr/>
        <w:t xml:space="preserve">2. The decoupling of trade and stock markets explains why foreign reserves did not rise in 2022 along with China's unprecedented export and current account surplus.</w:t>
      </w:r>
    </w:p>
    <w:p>
      <w:pPr>
        <w:jc w:val="both"/>
      </w:pPr>
      <w:r>
        <w:rPr/>
        <w:t xml:space="preserve">3. Northbound buying has stalled in the short term, while credit spreads suggest risk appetite has not fully repaired.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Trade Surplus to Market Recovery” by GROW Investment Group provides an analysis of the Chinese economy and its potential for recovery from a trade surplus perspective. The article is generally well-written and provides a comprehensive overview of the situation, but there are some areas where it could be improved upon.</w:t>
      </w:r>
    </w:p>
    <w:p>
      <w:pPr>
        <w:jc w:val="both"/>
      </w:pPr>
      <w:r>
        <w:rPr/>
        <w:t xml:space="preserve">First, the article does not provide any evidence to support its claims about the decoupling of trade and stock markets or the potential for economic recovery. While it does cite data from Bloomberg and Cirrus Research, these sources do not provide any direct evidence to back up these claims. Additionally, there is no discussion of possible counterarguments or risks associated with this analysis, which could lead readers to draw incorrect conclusions about the reliability of this information.</w:t>
      </w:r>
    </w:p>
    <w:p>
      <w:pPr>
        <w:jc w:val="both"/>
      </w:pPr>
      <w:r>
        <w:rPr/>
        <w:t xml:space="preserve">Second, while the article does mention northbound buying as a potential factor in market recovery, it fails to explore other factors such as changes in monetary policy or fiscal stimulus that could also play a role in driving economic growth. This lack of exploration leaves readers without a full understanding of all potential drivers of economic recovery and could lead them to draw incorrect conclusions about how best to invest their money during this time period.</w:t>
      </w:r>
    </w:p>
    <w:p>
      <w:pPr>
        <w:jc w:val="both"/>
      </w:pPr>
      <w:r>
        <w:rPr/>
        <w:t xml:space="preserve">Finally, while the article does mention implied volatility levels for offshore RMB and USD non-commercial positions as indicators for market recovery, it fails to discuss other important indicators such as bond yields or consumer sentiment that could also be used to gauge market performance. This omission leaves readers without a complete picture of what factors are influencing market performance and could lead them to make incorrect decisions when investing their money during this time period.</w:t>
      </w:r>
    </w:p>
    <w:p>
      <w:pPr>
        <w:jc w:val="both"/>
      </w:pPr>
      <w:r>
        <w:rPr/>
        <w:t xml:space="preserve">In conclusion, while “From Trade Surplus to Market Recovery” by GROW Investment Group provides an interesting analysis on China’s economy from a trade surplus perspective, there are some areas where it could be improved upon. Specifically, more evidence should be provided to support its claims about decoupling between trade and stock markets; other potential drivers of economic recovery should be explored; and additional indicators should be discussed that can help investors</w:t>
      </w:r>
    </w:p>
    <w:p>
      <w:pPr>
        <w:pStyle w:val="Heading1"/>
      </w:pPr>
      <w:bookmarkStart w:id="5" w:name="_Toc5"/>
      <w:r>
        <w:t>Topics for further research:</w:t>
      </w:r>
      <w:bookmarkEnd w:id="5"/>
    </w:p>
    <w:p>
      <w:pPr>
        <w:spacing w:after="0"/>
        <w:numPr>
          <w:ilvl w:val="0"/>
          <w:numId w:val="2"/>
        </w:numPr>
      </w:pPr>
      <w:r>
        <w:rPr/>
        <w:t xml:space="preserve">Monetary policy and economic recovery</w:t>
      </w:r>
    </w:p>
    <w:p>
      <w:pPr>
        <w:spacing w:after="0"/>
        <w:numPr>
          <w:ilvl w:val="0"/>
          <w:numId w:val="2"/>
        </w:numPr>
      </w:pPr>
      <w:r>
        <w:rPr/>
        <w:t xml:space="preserve">Fiscal stimulus and economic growth</w:t>
      </w:r>
    </w:p>
    <w:p>
      <w:pPr>
        <w:spacing w:after="0"/>
        <w:numPr>
          <w:ilvl w:val="0"/>
          <w:numId w:val="2"/>
        </w:numPr>
      </w:pPr>
      <w:r>
        <w:rPr/>
        <w:t xml:space="preserve">Bond yields and market performance</w:t>
      </w:r>
    </w:p>
    <w:p>
      <w:pPr>
        <w:spacing w:after="0"/>
        <w:numPr>
          <w:ilvl w:val="0"/>
          <w:numId w:val="2"/>
        </w:numPr>
      </w:pPr>
      <w:r>
        <w:rPr/>
        <w:t xml:space="preserve">Consumer sentiment and market performance</w:t>
      </w:r>
    </w:p>
    <w:p>
      <w:pPr>
        <w:spacing w:after="0"/>
        <w:numPr>
          <w:ilvl w:val="0"/>
          <w:numId w:val="2"/>
        </w:numPr>
      </w:pPr>
      <w:r>
        <w:rPr/>
        <w:t xml:space="preserve">Offshore RMB and USD non-commercial positions</w:t>
      </w:r>
    </w:p>
    <w:p>
      <w:pPr>
        <w:numPr>
          <w:ilvl w:val="0"/>
          <w:numId w:val="2"/>
        </w:numPr>
      </w:pPr>
      <w:r>
        <w:rPr/>
        <w:t xml:space="preserve">Implied volatility levels and market recovery</w:t>
      </w:r>
    </w:p>
    <w:p>
      <w:pPr>
        <w:pStyle w:val="Heading1"/>
      </w:pPr>
      <w:bookmarkStart w:id="6" w:name="_Toc6"/>
      <w:r>
        <w:t>Report location:</w:t>
      </w:r>
      <w:bookmarkEnd w:id="6"/>
    </w:p>
    <w:p>
      <w:hyperlink r:id="rId8" w:history="1">
        <w:r>
          <w:rPr>
            <w:color w:val="2980b9"/>
            <w:u w:val="single"/>
          </w:rPr>
          <w:t xml:space="preserve">https://www.fullpicture.app/item/4e00260b88fa81d830d192285afbc69d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6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rowinvestment.group/2023/02/20/%e6%b4%aa%e7%81%9d%ef%bc%9a%e6%98%af%e6%ad%bb%e7%8c%ab%e8%b7%b3%ef%bc%8c%e8%bf%98%e6%98%af%e7%89%9b%e5%9b%9e%e5%a4%b4%ef%bc%9f-2/" TargetMode="External"/><Relationship Id="rId8" Type="http://schemas.openxmlformats.org/officeDocument/2006/relationships/hyperlink" Target="https://www.fullpicture.app/item/4e00260b88fa81d830d192285afbc6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2023-02-22T02:09:48+01:00</dcterms:created>
  <dcterms:modified xsi:type="dcterms:W3CDTF">2023-02-22T02:09:48+01:00</dcterms:modified>
</cp:coreProperties>
</file>

<file path=docProps/custom.xml><?xml version="1.0" encoding="utf-8"?>
<Properties xmlns="http://schemas.openxmlformats.org/officeDocument/2006/custom-properties" xmlns:vt="http://schemas.openxmlformats.org/officeDocument/2006/docPropsVTypes"/>
</file>