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Interface entre la directive IED et le règlement REACH | Ineris</w:t>
      </w:r>
      <w:br/>
      <w:hyperlink r:id="rId7" w:history="1">
        <w:r>
          <w:rPr>
            <w:color w:val="2980b9"/>
            <w:u w:val="single"/>
          </w:rPr>
          <w:t xml:space="preserve">https://www.ineris.fr/fr/risques/dossiers-thematiques/directive-emissions-industrielles-ied-bref-mtd/interface-entre</w:t>
        </w:r>
      </w:hyperlink>
    </w:p>
    <w:p>
      <w:pPr>
        <w:pStyle w:val="Heading1"/>
      </w:pPr>
      <w:bookmarkStart w:id="2" w:name="_Toc2"/>
      <w:r>
        <w:t>Article summary:</w:t>
      </w:r>
      <w:bookmarkEnd w:id="2"/>
    </w:p>
    <w:p>
      <w:pPr>
        <w:jc w:val="both"/>
      </w:pPr>
      <w:r>
        <w:rPr/>
        <w:t xml:space="preserve">1. La commission européenne souhaite mettre en cohérence les réglementations REACH et IED pour limiter les émissions de substances préoccupantes dans l'environnement.</w:t>
      </w:r>
    </w:p>
    <w:p>
      <w:pPr>
        <w:jc w:val="both"/>
      </w:pPr>
      <w:r>
        <w:rPr/>
        <w:t xml:space="preserve">2. Le règlement REACH vise à améliorer la protection de la santé et de l'environnement en limitant l'utilisation de substances préoccupantes, tandis que l'Ineris propose des services d'assistance pour aider les entreprises à comprendre et mettre en œuvre ces obligations.</w:t>
      </w:r>
    </w:p>
    <w:p>
      <w:pPr>
        <w:jc w:val="both"/>
      </w:pPr>
      <w:r>
        <w:rPr/>
        <w:t xml:space="preserve">3. L'Ineris développe également une expertise dans la substitution des substances préoccupantes par des alternatives plus sûres, en proposant notamment des ateliers sectoriels et un portail dédié à la substitution des substances chimiques.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traite de l'interface entre la directive IED et le règlement REACH, deux réglementations européennes visant à protéger la santé et l'environnement des produits chimiques. L'article est rédigé par l'Ineris, un institut français spécialisé dans la gestion des risques environnementaux. </w:t>
      </w:r>
    </w:p>
    <w:p>
      <w:pPr>
        <w:jc w:val="both"/>
      </w:pPr>
      <w:r>
        <w:rPr/>
        <w:t xml:space="preserve"/>
      </w:r>
    </w:p>
    <w:p>
      <w:pPr>
        <w:jc w:val="both"/>
      </w:pPr>
      <w:r>
        <w:rPr/>
        <w:t xml:space="preserve">Le contenu de l'article est principalement informatif et vise à expliquer les objectifs et les obligations des deux réglementations. Cependant, il y a quelques biais potentiels dans l'article. Tout d'abord, l'article semble promouvoir le rôle de l'Ineris en tant qu'acteur privilégié sur le sujet, sans mentionner d'autres acteurs ou experts qui pourraient avoir une opinion différente ou complémentaire.</w:t>
      </w:r>
    </w:p>
    <w:p>
      <w:pPr>
        <w:jc w:val="both"/>
      </w:pPr>
      <w:r>
        <w:rPr/>
        <w:t xml:space="preserve"/>
      </w:r>
    </w:p>
    <w:p>
      <w:pPr>
        <w:jc w:val="both"/>
      </w:pPr>
      <w:r>
        <w:rPr/>
        <w:t xml:space="preserve">De plus, bien que l'article mentionne les substances extrêmement préoccupantes (SVHC) et leur impact sur la santé et l'environnement, il ne fournit pas suffisamment de preuves pour étayer ces affirmations. Il aurait été utile d'inclure des exemples concrets de cas où ces substances ont causé des dommages ou des risques avérés.</w:t>
      </w:r>
    </w:p>
    <w:p>
      <w:pPr>
        <w:jc w:val="both"/>
      </w:pPr>
      <w:r>
        <w:rPr/>
        <w:t xml:space="preserve"/>
      </w:r>
    </w:p>
    <w:p>
      <w:pPr>
        <w:jc w:val="both"/>
      </w:pPr>
      <w:r>
        <w:rPr/>
        <w:t xml:space="preserve">Enfin, bien que l'article aborde brièvement le processus de substitution des substances dangereuses par des alternatives plus sûres, il ne discute pas suffisamment des défis pratiques liés à cette démarche ni des coûts économiques associés. Il aurait été intéressant d'examiner les obstacles auxquels sont confrontées les entreprises lorsqu'elles cherchent à remplacer les substances préoccupantes par des alternatives plus sûres.</w:t>
      </w:r>
    </w:p>
    <w:p>
      <w:pPr>
        <w:jc w:val="both"/>
      </w:pPr>
      <w:r>
        <w:rPr/>
        <w:t xml:space="preserve"/>
      </w:r>
    </w:p>
    <w:p>
      <w:pPr>
        <w:jc w:val="both"/>
      </w:pPr>
      <w:r>
        <w:rPr/>
        <w:t xml:space="preserve">Dans l'ensemble, bien que cet article soit informatif sur certains aspects du règlement REACH et de la directive IED, il manque de profondeur et d'analyse critique pour être considéré comme une source fiable et impartiale.</w:t>
      </w:r>
    </w:p>
    <w:p>
      <w:pPr>
        <w:pStyle w:val="Heading1"/>
      </w:pPr>
      <w:bookmarkStart w:id="5" w:name="_Toc5"/>
      <w:r>
        <w:t>Topics for further research:</w:t>
      </w:r>
      <w:bookmarkEnd w:id="5"/>
    </w:p>
    <w:p>
      <w:pPr>
        <w:spacing w:after="0"/>
        <w:numPr>
          <w:ilvl w:val="0"/>
          <w:numId w:val="2"/>
        </w:numPr>
      </w:pPr>
      <w:r>
        <w:rPr/>
        <w:t xml:space="preserve">Les défis pratiques de la substitution des substances dangereuses par des alternatives plus sûres dans l'industrie chimique européenne.
</w:t>
      </w:r>
    </w:p>
    <w:p>
      <w:pPr>
        <w:spacing w:after="0"/>
        <w:numPr>
          <w:ilvl w:val="0"/>
          <w:numId w:val="2"/>
        </w:numPr>
      </w:pPr>
      <w:r>
        <w:rPr/>
        <w:t xml:space="preserve">Les coûts économiques associés à la mise en conformité avec la directive IED et le règlement REACH.
</w:t>
      </w:r>
    </w:p>
    <w:p>
      <w:pPr>
        <w:spacing w:after="0"/>
        <w:numPr>
          <w:ilvl w:val="0"/>
          <w:numId w:val="2"/>
        </w:numPr>
      </w:pPr>
      <w:r>
        <w:rPr/>
        <w:t xml:space="preserve">Les opinions et les perspectives d'autres acteurs et experts sur la directive IED et le règlement REACH.
</w:t>
      </w:r>
    </w:p>
    <w:p>
      <w:pPr>
        <w:spacing w:after="0"/>
        <w:numPr>
          <w:ilvl w:val="0"/>
          <w:numId w:val="2"/>
        </w:numPr>
      </w:pPr>
      <w:r>
        <w:rPr/>
        <w:t xml:space="preserve">Les exemples concrets de cas où les substances extrêmement préoccupantes ont causé des dommages ou des risques avérés.
</w:t>
      </w:r>
    </w:p>
    <w:p>
      <w:pPr>
        <w:spacing w:after="0"/>
        <w:numPr>
          <w:ilvl w:val="0"/>
          <w:numId w:val="2"/>
        </w:numPr>
      </w:pPr>
      <w:r>
        <w:rPr/>
        <w:t xml:space="preserve">Les impacts environnementaux et sanitaires des substances chimiques dans l'industrie européenne.
</w:t>
      </w:r>
    </w:p>
    <w:p>
      <w:pPr>
        <w:numPr>
          <w:ilvl w:val="0"/>
          <w:numId w:val="2"/>
        </w:numPr>
      </w:pPr>
      <w:r>
        <w:rPr/>
        <w:t xml:space="preserve">Les mesures de prévention et de gestion des risques liés aux substances chimiques dans l'industrie européenne.</w:t>
      </w:r>
    </w:p>
    <w:p>
      <w:pPr>
        <w:pStyle w:val="Heading1"/>
      </w:pPr>
      <w:bookmarkStart w:id="6" w:name="_Toc6"/>
      <w:r>
        <w:t>Report location:</w:t>
      </w:r>
      <w:bookmarkEnd w:id="6"/>
    </w:p>
    <w:p>
      <w:hyperlink r:id="rId8" w:history="1">
        <w:r>
          <w:rPr>
            <w:color w:val="2980b9"/>
            <w:u w:val="single"/>
          </w:rPr>
          <w:t xml:space="preserve">https://www.fullpicture.app/item/4e50f93e3ceaf8fcb3991fbb859d9b70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B4B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eris.fr/fr/risques/dossiers-thematiques/directive-emissions-industrielles-ied-bref-mtd/interface-entre" TargetMode="External"/><Relationship Id="rId8" Type="http://schemas.openxmlformats.org/officeDocument/2006/relationships/hyperlink" Target="https://www.fullpicture.app/item/4e50f93e3ceaf8fcb3991fbb859d9b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2023-12-19T13:13:33+01:00</dcterms:created>
  <dcterms:modified xsi:type="dcterms:W3CDTF">2023-12-19T13:13:33+01:00</dcterms:modified>
</cp:coreProperties>
</file>

<file path=docProps/custom.xml><?xml version="1.0" encoding="utf-8"?>
<Properties xmlns="http://schemas.openxmlformats.org/officeDocument/2006/custom-properties" xmlns:vt="http://schemas.openxmlformats.org/officeDocument/2006/docPropsVTypes"/>
</file>