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Roles of BiOCl(001) in face-to-faced BiOI(010)/BiOCl(001) heterojunction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https://link.springer.com/article/10.1007/s11051-018-4272-9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Bismuth oxyhalides, such as BiOCl, are promising semiconductor photocatalysts due to their open and layered structure, indirect transition, and suitable band gap energy.</w:t>
      </w:r>
    </w:p>
    <w:p>
      <w:pPr>
        <w:jc w:val="both"/>
      </w:pPr>
      <w:r>
        <w:rPr/>
        <w:t xml:space="preserve">2. Crystal facet engineering, specifically exposing the BiOCl(001) facet in a BiOI/BiOCl heterojunction, can enhance the photocatalytic performance by providing active sites and improving the separation efficiency of photo-generated carriers.</w:t>
      </w:r>
    </w:p>
    <w:p>
      <w:pPr>
        <w:jc w:val="both"/>
      </w:pPr>
      <w:r>
        <w:rPr/>
        <w:t xml:space="preserve">3. The internal electric field (IEF) in the heterojunction plays a crucial role in separating electron-hole pairs and enhancing the photocatalytic activity of semiconductors.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潜在偏见及其来源：文章没有明确提到作者的研究背景和利益关系，这可能导致潜在的偏见。如果作者有与所研究材料相关的商业或个人利益，他们可能倾向于宣传该材料的优点而忽略其缺点。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片面报道：文章只关注了BiOCl(001)在BiOI/BiOCl异质结中的作用，而没有探讨其他可能影响光催化性能的因素。这种片面报道可能导致读者对整个研究领域的理解不完整。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无根据的主张：文章声称BiOCl(001)可以改善光催化性能，但没有提供足够的实验证据来支持这一主张。缺乏实验证据使得读者难以相信该主张的可靠性。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缺失的考虑点：文章没有讨论其他可能影响光催化性能的因素，如溶液pH值、温度、光照强度等。这些因素对光催化反应有重要影响，但在文章中被忽略了。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所提出主张的缺失证据：尽管文章声称BiOCl(001)可以改善光催化性能，但没有提供实验证据来支持这一主张。缺乏实验证据使得读者难以相信该主张的可靠性。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未探索的反驳：文章没有探讨可能与其主张相矛盾的其他研究结果或观点。这种未探索的反驳可能导致读者对该主张的可靠性产生怀疑。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宣传内容：文章中存在一些宣传性语言，如将BiOI/BiOCl描述为“高效光催化剂”。这种宣传性语言可能会误导读者，并使他们对该材料的性能有过高期望。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偏袒：文章只关注了BiOCl(001)在BiOI/BiOCl异质结中的作用，而没有探讨其他可能影响光催化性能的因素。这种偏袒可能导致读者对整个研究领域的理解不完整。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是否注意到可能的风险：文章没有提及任何与所研究材料相关的潜在风险或副作用。忽略潜在风险可能导致读者对该材料的安全性和可行性产生误解。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没有平等地呈现双方：文章只关注了BiOCl(001)在BiOI/BiOCl异质结中的作用，而没有探讨其他可能影响光催化性能的因素。这种不平等的呈现可能导致读者对整个研究领域的理解不完整。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作者研究背景和利益关系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其他可能影响光催化性能的因素
</w:t>
      </w:r>
    </w:p>
    <w:p>
      <w:pPr>
        <w:spacing w:after="0"/>
        <w:numPr>
          <w:ilvl w:val="0"/>
          <w:numId w:val="2"/>
        </w:numPr>
      </w:pPr>
      <w:r>
        <w:rPr/>
        <w:t xml:space="preserve">BiOCl(001)改善光催化性能的实验证据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溶液pH值、温度、光照强度等因素对光催化反应的影响
</w:t>
      </w:r>
    </w:p>
    <w:p>
      <w:pPr>
        <w:spacing w:after="0"/>
        <w:numPr>
          <w:ilvl w:val="0"/>
          <w:numId w:val="2"/>
        </w:numPr>
      </w:pPr>
      <w:r>
        <w:rPr/>
        <w:t xml:space="preserve">BiOCl(001)改善光催化性能的实验证据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与主张相矛盾的其他研究结果或观点
</w:t>
      </w:r>
    </w:p>
    <w:p>
      <w:pPr>
        <w:spacing w:after="0"/>
        <w:numPr>
          <w:ilvl w:val="0"/>
          <w:numId w:val="2"/>
        </w:numPr>
      </w:pPr>
      <w:r>
        <w:rPr/>
        <w:t xml:space="preserve">BiOI/BiOCl的宣传性语言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其他可能影响光催化性能的因素
</w:t>
      </w:r>
    </w:p>
    <w:p>
      <w:pPr>
        <w:spacing w:after="0"/>
        <w:numPr>
          <w:ilvl w:val="0"/>
          <w:numId w:val="2"/>
        </w:numPr>
      </w:pPr>
      <w:r>
        <w:rPr/>
        <w:t xml:space="preserve">与所研究材料相关的潜在风险或副作用
1</w:t>
      </w:r>
    </w:p>
    <w:p>
      <w:pPr>
        <w:numPr>
          <w:ilvl w:val="0"/>
          <w:numId w:val="2"/>
        </w:numPr>
      </w:pPr>
      <w:r>
        <w:rPr/>
        <w:t xml:space="preserve">其他可能影响光催化性能的因素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https://www.fullpicture.app/item/4f99f8aa69c1ac560d7405214977d4cf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D4AA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1051-018-4272-9" TargetMode="External"/><Relationship Id="rId8" Type="http://schemas.openxmlformats.org/officeDocument/2006/relationships/hyperlink" Target="https://www.fullpicture.app/item/4f99f8aa69c1ac560d7405214977d4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2024-01-17T00:24:33+01:00</dcterms:created>
  <dcterms:modified xsi:type="dcterms:W3CDTF">2024-01-17T00:24:33+01:00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