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Rechter kan hersteloperatie toeslagen niet versnellen</w:t>
      </w:r>
      <w:br/>
      <w:hyperlink r:id="rId7" w:history="1">
        <w:r>
          <w:rPr>
            <w:color w:val="2980b9"/>
            <w:u w:val="single"/>
          </w:rPr>
          <w:t xml:space="preserve">https://www.rechtspraak.nl/Organisatie-en-contact/Organisatie/Rechtbanken/Rechtbank-Midden-Nederland/Nieuws/Paginas/Rechter-kan-hersteloperatie-toeslagen-niet-versnellen.aspx</w:t>
        </w:r>
      </w:hyperlink>
    </w:p>
    <w:p>
      <w:pPr>
        <w:pStyle w:val="Heading1"/>
      </w:pPr>
      <w:bookmarkStart w:id="2" w:name="_Toc2"/>
      <w:r>
        <w:t>Article summary:</w:t>
      </w:r>
      <w:bookmarkEnd w:id="2"/>
    </w:p>
    <w:p>
      <w:pPr>
        <w:jc w:val="both"/>
      </w:pPr>
      <w:r>
        <w:rPr/>
        <w:t xml:space="preserve">1. De rechtbank Midden-Nederland concludeert dat de wetgever gedupeerde ouders belooft wat niet waargemaakt kan worden en dat de bestuursrechter geen oplossing heeft voor de trage besluitvorming bij het herstel van de kinderopvangtoeslagaffaire.</w:t>
      </w:r>
    </w:p>
    <w:p>
      <w:pPr>
        <w:jc w:val="both"/>
      </w:pPr>
      <w:r>
        <w:rPr/>
        <w:t xml:space="preserve">2. De Uitvoeringsorganisatie Herstel Toeslagen (UHT) heeft bevestigd dat in 100% van de gevallen sprake is van een overschrijding van de beslistermijn en dat dit ook in de toekomst zo zal blijven.</w:t>
      </w:r>
    </w:p>
    <w:p>
      <w:pPr>
        <w:jc w:val="both"/>
      </w:pPr>
      <w:r>
        <w:rPr/>
        <w:t xml:space="preserve">3. De rechtbank geeft de Belastingdienst/Toeslagen voortaan een veel langere beslistermijn om ervoor te zorgen dat alle gedupeerde ouders gelijk kunnen worden behandeld, omdat het aantal rechtszaken het probleem alleen maar groter maakt.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 bovenstaande tekst beschrijft de trage besluitvorming bij het herstel van de kinderopvangtoeslagaffaire en de gevolgen daarvan voor gedupeerde ouders. Hoewel het artikel enkele belangrijke punten naar voren brengt, zijn er ook enkele kritische aspecten die moeten worden belicht.</w:t>
      </w:r>
    </w:p>
    <w:p>
      <w:pPr>
        <w:jc w:val="both"/>
      </w:pPr>
      <w:r>
        <w:rPr/>
        <w:t xml:space="preserve"/>
      </w:r>
    </w:p>
    <w:p>
      <w:pPr>
        <w:jc w:val="both"/>
      </w:pPr>
      <w:r>
        <w:rPr/>
        <w:t xml:space="preserve">Ten eerste lijkt het artikel eenzijdig te rapporteren over de rol van de rechtbank en de wetgever in dit proces. Het legt de schuld volledig bij de wetgever door te stellen dat zij "een regeling met feitelijk onhaalbare beslistermijnen heeft aanvaard". Hoewel dit een geldig punt kan zijn, wordt er geen aandacht besteed aan mogelijke redenen of beperkingen die hebben geleid tot deze beslissing. Het zou nuttig zijn geweest om meer context te bieden over waarom deze beslistermijnen werden vastgesteld en welke uitdagingen er waren bij het implementeren ervan.</w:t>
      </w:r>
    </w:p>
    <w:p>
      <w:pPr>
        <w:jc w:val="both"/>
      </w:pPr>
      <w:r>
        <w:rPr/>
        <w:t xml:space="preserve"/>
      </w:r>
    </w:p>
    <w:p>
      <w:pPr>
        <w:jc w:val="both"/>
      </w:pPr>
      <w:r>
        <w:rPr/>
        <w:t xml:space="preserve">Daarnaast wordt er beweerd dat de vele rechtszaken het probleem alleen maar groter maken. Hoewel dit waar kan zijn in termen van extra werklast voor zowel de Uitvoeringsorganisatie Herstel Toeslagen (UHT) als de rechtbank, wordt er geen bewijs geleverd om deze bewering te ondersteunen. Het is mogelijk dat deze rechtszaken juist nodig zijn om gerechtigheid te zoeken voor gedupeerde ouders en om verantwoordelijkheid af te dwingen bij overheidsinstanties. Door deze bewering zonder ondersteuning te presenteren, kan het artikel een negatieve perceptie creëren van degenen die hun recht zoeken via juridische procedures.</w:t>
      </w:r>
    </w:p>
    <w:p>
      <w:pPr>
        <w:jc w:val="both"/>
      </w:pPr>
      <w:r>
        <w:rPr/>
        <w:t xml:space="preserve"/>
      </w:r>
    </w:p>
    <w:p>
      <w:pPr>
        <w:jc w:val="both"/>
      </w:pPr>
      <w:r>
        <w:rPr/>
        <w:t xml:space="preserve">Bovendien lijkt het artikel te suggereren dat de rechtbank een oplossing heeft gevonden door de Belastingdienst/Toeslagen een langere beslistermijn te geven. Hoewel dit misschien eerlijker is voor alle gedupeerde ouders, wordt er geen bewijs geleverd dat deze verlenging daadwerkelijk zal leiden tot een versnelling van het herstelproces. Het is mogelijk dat dit slechts een tijdelijke oplossing is en dat er andere maatregelen nodig zijn om de trage besluitvorming aan te pakken.</w:t>
      </w:r>
    </w:p>
    <w:p>
      <w:pPr>
        <w:jc w:val="both"/>
      </w:pPr>
      <w:r>
        <w:rPr/>
        <w:t xml:space="preserve"/>
      </w:r>
    </w:p>
    <w:p>
      <w:pPr>
        <w:jc w:val="both"/>
      </w:pPr>
      <w:r>
        <w:rPr/>
        <w:t xml:space="preserve">Tot slot ontbreekt er in het artikel aandacht voor mogelijke tegenargumenten of kritiek op de rol van de rechtbank en de wetgever. Het zou nuttig zijn geweest om verschillende perspectieven weer te geven en mogelijke alternatieve oplossingen te onderzoeken. Door dit na te laten, kan het artikel partijdig overkomen en belangrijke discussies over dit onderwerp negeren.</w:t>
      </w:r>
    </w:p>
    <w:p>
      <w:pPr>
        <w:jc w:val="both"/>
      </w:pPr>
      <w:r>
        <w:rPr/>
        <w:t xml:space="preserve"/>
      </w:r>
    </w:p>
    <w:p>
      <w:pPr>
        <w:jc w:val="both"/>
      </w:pPr>
      <w:r>
        <w:rPr/>
        <w:t xml:space="preserve">Al met al biedt het artikel inzicht in de problemen rondom de trage besluitvorming bij het herstel van de kinderopvangtoeslagaffaire, maar mist het belangrijke context, ondersteuning voor beweringen en aandacht voor tegenargumenten. Een meer evenwichtige benadering zou hebben bijgedragen aan een beter begrip van deze complexe kwestie.</w:t>
      </w:r>
    </w:p>
    <w:p>
      <w:pPr>
        <w:pStyle w:val="Heading1"/>
      </w:pPr>
      <w:bookmarkStart w:id="5" w:name="_Toc5"/>
      <w:r>
        <w:t>Topics for further research:</w:t>
      </w:r>
      <w:bookmarkEnd w:id="5"/>
    </w:p>
    <w:p>
      <w:pPr>
        <w:spacing w:after="0"/>
        <w:numPr>
          <w:ilvl w:val="0"/>
          <w:numId w:val="2"/>
        </w:numPr>
      </w:pPr>
      <w:r>
        <w:rPr/>
        <w:t xml:space="preserve">Alternatieve oplossingen voor de trage besluitvorming bij het herstel van de kinderopvangtoeslagaffaire
</w:t>
      </w:r>
    </w:p>
    <w:p>
      <w:pPr>
        <w:spacing w:after="0"/>
        <w:numPr>
          <w:ilvl w:val="0"/>
          <w:numId w:val="2"/>
        </w:numPr>
      </w:pPr>
      <w:r>
        <w:rPr/>
        <w:t xml:space="preserve">Kritiek op de rol van de rechtbank en de wetgever in de kinderopvangtoeslagaffaire
</w:t>
      </w:r>
    </w:p>
    <w:p>
      <w:pPr>
        <w:spacing w:after="0"/>
        <w:numPr>
          <w:ilvl w:val="0"/>
          <w:numId w:val="2"/>
        </w:numPr>
      </w:pPr>
      <w:r>
        <w:rPr/>
        <w:t xml:space="preserve">Redenen en beperkingen achter de beslissing van de wetgever om onhaalbare beslistermijnen vast te stellen
</w:t>
      </w:r>
    </w:p>
    <w:p>
      <w:pPr>
        <w:spacing w:after="0"/>
        <w:numPr>
          <w:ilvl w:val="0"/>
          <w:numId w:val="2"/>
        </w:numPr>
      </w:pPr>
      <w:r>
        <w:rPr/>
        <w:t xml:space="preserve">Ondersteuning voor de bewering dat de vele rechtszaken het probleem alleen maar groter maken
</w:t>
      </w:r>
    </w:p>
    <w:p>
      <w:pPr>
        <w:spacing w:after="0"/>
        <w:numPr>
          <w:ilvl w:val="0"/>
          <w:numId w:val="2"/>
        </w:numPr>
      </w:pPr>
      <w:r>
        <w:rPr/>
        <w:t xml:space="preserve">Effectiviteit van het verlengen van de beslistermijn voor de Belastingdienst/Toeslagen in het herstelproces
</w:t>
      </w:r>
    </w:p>
    <w:p>
      <w:pPr>
        <w:numPr>
          <w:ilvl w:val="0"/>
          <w:numId w:val="2"/>
        </w:numPr>
      </w:pPr>
      <w:r>
        <w:rPr/>
        <w:t xml:space="preserve">Verschillende perspectieven en discussies over de kinderopvangtoeslagaffaire die niet in het artikel worden behandeld.</w:t>
      </w:r>
    </w:p>
    <w:p>
      <w:pPr>
        <w:pStyle w:val="Heading1"/>
      </w:pPr>
      <w:bookmarkStart w:id="6" w:name="_Toc6"/>
      <w:r>
        <w:t>Report location:</w:t>
      </w:r>
      <w:bookmarkEnd w:id="6"/>
    </w:p>
    <w:p>
      <w:hyperlink r:id="rId8" w:history="1">
        <w:r>
          <w:rPr>
            <w:color w:val="2980b9"/>
            <w:u w:val="single"/>
          </w:rPr>
          <w:t xml:space="preserve">https://www.fullpicture.app/item/4fcf65101755a281dcfcb9a0a06a4b37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7E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chtspraak.nl/Organisatie-en-contact/Organisatie/Rechtbanken/Rechtbank-Midden-Nederland/Nieuws/Paginas/Rechter-kan-hersteloperatie-toeslagen-niet-versnellen.aspx" TargetMode="External"/><Relationship Id="rId8" Type="http://schemas.openxmlformats.org/officeDocument/2006/relationships/hyperlink" Target="https://www.fullpicture.app/item/4fcf65101755a281dcfcb9a0a06a4b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2023-12-17T08:57:53+01:00</dcterms:created>
  <dcterms:modified xsi:type="dcterms:W3CDTF">2023-12-17T08:57:53+01:00</dcterms:modified>
</cp:coreProperties>
</file>

<file path=docProps/custom.xml><?xml version="1.0" encoding="utf-8"?>
<Properties xmlns="http://schemas.openxmlformats.org/officeDocument/2006/custom-properties" xmlns:vt="http://schemas.openxmlformats.org/officeDocument/2006/docPropsVTypes"/>
</file>