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Tabelle CEF – divorzio.ch</w:t>
      </w:r>
      <w:br/>
      <w:hyperlink r:id="rId7" w:history="1">
        <w:r>
          <w:rPr>
            <w:color w:val="2980b9"/>
            <w:u w:val="single"/>
          </w:rPr>
          <w:t xml:space="preserve">https://divorzio.ch/book/tabelle-cef/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Camera di esecuzione e fallimenti del Tribunale d'appello ha emesso una tabella per il calcolo del minimo di esistenza agli effetti del diritto esecutivo.</w:t>
      </w:r>
    </w:p>
    <w:p>
      <w:pPr>
        <w:jc w:val="both"/>
      </w:pPr>
      <w:r>
        <w:rPr/>
        <w:t xml:space="preserve">2. L'importo base mensile per spese di sostentamento varia a seconda della situazione familiare, con un importo più alto per i debitori monoparentali o coniugi.</w:t>
      </w:r>
    </w:p>
    <w:p>
      <w:pPr>
        <w:jc w:val="both"/>
      </w:pPr>
      <w:r>
        <w:rPr/>
        <w:t xml:space="preserve">3. Sono previsti supplementi all'importo base per canone di locazione, riscaldamento, oneri sociali, spese connesse all'esercizio di una professione, contributi di mantenimento e spese per l'istruzione dei figli.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riguarda le tabelle CEF per il calcolo del minimo di esistenza agli effetti del diritto esecutivo. Tuttavia, l'articolo non fornisce alcuna analisi critica o approfondimento sulle tabelle stesse, ma si limita a fornire una descrizione generale delle diverse categorie di spese che possono essere considerate come necessarie e impignorabili.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Uno dei potenziali pregiudizi dell'articolo è la mancanza di fonti o riferimenti specifici alle leggi o alle decisioni giuridiche che supportano le affermazioni fatte. Ad esempio, l'articolo menziona l'art. 93 LEF (Legge federale sull'esecuzione e il fallimento), ma non fornisce ulteriori dettagli su cosa dice questa legge o come sia stata interpretata dalla giurisprudenza.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essere scritto da un punto di vista unilaterale, concentrandosi solo sulle spese che possono essere considerate come necessarie e impignorabili, senza menzionare eventuali limitazioni o eccezioni a questa regola. Ad esempio, potrebbe esserci una discussione su quali spese siano effettivamente necessarie e se ci sono dei limiti massimi per queste spese.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manca di punti di considerazione importanti che potrebbero influenzare il calcolo del minimo di esistenza. Ad esempio, non viene menzionato se ci sono differenze regionali nelle tabelle CEF o se ci sono fattori aggiuntivi da considerare per determinate categorie di persone, come ad esempio le persone con disabilità o le famiglie numerose.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Un'altra mancanza nell'articolo è la mancanza di prove o dati specifici per supportare le affermazioni fatte. Ad esempio, l'articolo menziona che le spese di sostentamento sono in linea di principio riconosciute come necessarie e impignorabili, ma non fornisce alcuna prova o dato specifico su quali siano queste spese o come siano state determinate.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essere promozionale nel suo tono, fornendo informazioni generali sulle tabelle CEF senza analizzare criticamente i loro potenziali limiti o problemi. Non viene menzionato se ci sono alternative alle tabelle CEF o se ci sono critiche o controversie riguardanti il loro utilizzo.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in questione presenta diversi pregiudizi e mancanze che ne limitano la completezza e l'affidabilità. Sarebbe stato utile fornire una maggiore analisi critica delle tabelle CEF, inclusa una discussione sui loro potenziali limiti e problemi. Inoltre, sarebbe stato importante fornire fonti specifiche e dati per supportare le affermazioni fatte nell'articolo.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Limiti massimi per le spese necessarie e impignorabili secondo le tabelle CEF
</w:t>
      </w:r>
    </w:p>
    <w:p>
      <w:pPr>
        <w:spacing w:after="0"/>
        <w:numPr>
          <w:ilvl w:val="0"/>
          <w:numId w:val="2"/>
        </w:numPr>
      </w:pPr>
      <w:r>
        <w:rPr/>
        <w:t xml:space="preserve">Interpretazione dell'art. 93 LEF e decisioni giuridiche correlate
</w:t>
      </w:r>
    </w:p>
    <w:p>
      <w:pPr>
        <w:spacing w:after="0"/>
        <w:numPr>
          <w:ilvl w:val="0"/>
          <w:numId w:val="2"/>
        </w:numPr>
      </w:pPr>
      <w:r>
        <w:rPr/>
        <w:t xml:space="preserve">Differenze regionali nelle tabelle CEF per il calcolo del minimo di esistenza
</w:t>
      </w:r>
    </w:p>
    <w:p>
      <w:pPr>
        <w:spacing w:after="0"/>
        <w:numPr>
          <w:ilvl w:val="0"/>
          <w:numId w:val="2"/>
        </w:numPr>
      </w:pPr>
      <w:r>
        <w:rPr/>
        <w:t xml:space="preserve">Fattori aggiuntivi da considerare nelle tabelle CEF per persone con disabilità o famiglie numerose
</w:t>
      </w:r>
    </w:p>
    <w:p>
      <w:pPr>
        <w:spacing w:after="0"/>
        <w:numPr>
          <w:ilvl w:val="0"/>
          <w:numId w:val="2"/>
        </w:numPr>
      </w:pPr>
      <w:r>
        <w:rPr/>
        <w:t xml:space="preserve">Alternative alle tabelle CEF per il calcolo del minimo di esistenza
</w:t>
      </w:r>
    </w:p>
    <w:p>
      <w:pPr>
        <w:numPr>
          <w:ilvl w:val="0"/>
          <w:numId w:val="2"/>
        </w:numPr>
      </w:pPr>
      <w:r>
        <w:rPr/>
        <w:t xml:space="preserve">Critiche o controversie riguardanti l'utilizzo delle tabelle CEF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https://www.fullpicture.app/item/509c9b2afb7ec8879c8185d913298f04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C5B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vorzio.ch/book/tabelle-cef/" TargetMode="External"/><Relationship Id="rId8" Type="http://schemas.openxmlformats.org/officeDocument/2006/relationships/hyperlink" Target="https://www.fullpicture.app/item/509c9b2afb7ec8879c8185d913298f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2024-05-20T22:43:54+02:00</dcterms:created>
  <dcterms:modified xsi:type="dcterms:W3CDTF">2024-05-20T22:43:54+02:00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