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A clinical case definition of post-COVID-19 condition by a Delphi consensus - The Lancet Infectious Diseases</w:t>
      </w:r>
      <w:br/>
      <w:hyperlink r:id="rId7" w:history="1">
        <w:r>
          <w:rPr>
            <w:color w:val="2980b9"/>
            <w:u w:val="single"/>
          </w:rPr>
          <w:t xml:space="preserve">https://www.thelancet.com/journals/laninf/article/PIIS1473-3099(21)00703-9/fulltext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Post-COVID-19 condition is a variable occurrence that can have sustained sequelae and impact everyday functioning, but there is no globally standardized definition for it.</w:t>
      </w:r>
    </w:p>
    <w:p>
      <w:pPr>
        <w:jc w:val="both"/>
      </w:pPr>
      <w:r>
        <w:rPr/>
        <w:t xml:space="preserve">2. A Delphi consensus process involving an international panel of patients, clinicians, researchers, and WHO staff was conducted to develop a consensus definition for post-COVID-19 condition.</w:t>
      </w:r>
    </w:p>
    <w:p>
      <w:pPr>
        <w:jc w:val="both"/>
      </w:pPr>
      <w:r>
        <w:rPr/>
        <w:t xml:space="preserve">3. The final consensus definition for adults includes 14 domains and 45 items, with symptoms lasting at least 2 months and cannot be explained by an alternative diagnosis, such as fatigue, shortness of breath, and cognitive dysfunction. A separate definition might be applicable for children.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作为一篇关于COVID-19后遗症的定义的文章，它提供了一个由国际专家共识形成的定义。然而，这篇文章存在一些潜在的偏见和局限性。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首先，这篇文章没有探讨可能存在的风险和副作用。虽然它提供了一个定义，但并没有对治疗方法或预防措施进行详细讨论。此外，该文章也没有考虑到不同人群之间可能存在的差异性。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其次，该文章只涉及到了成年人的情况，并未提供儿童相关的定义。这可能会导致在处理儿童后遗症时出现困难。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此外，在描述后遗症时，该文章只列举了一些常见症状，并未对其他可能出现的症状进行详细说明。这可能会导致医生无法准确地诊断患者是否患有后遗症。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最后，该文章并未提供足够证据来支持其所提出的主张。虽然它引用了一些相关研究结果，但并未对这些结果进行深入分析或评估。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总之，尽管该文章提供了一个共识形成的定义，但它仍存在一些局限性和偏见。需要更多深入探讨和证据支持来完善我们对COVID-19后遗症的认识。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COVID-19后遗症的风险和副作用
</w:t>
      </w:r>
    </w:p>
    <w:p>
      <w:pPr>
        <w:spacing w:after="0"/>
        <w:numPr>
          <w:ilvl w:val="0"/>
          <w:numId w:val="2"/>
        </w:numPr>
      </w:pPr>
      <w:r>
        <w:rPr/>
        <w:t xml:space="preserve">不同人群之间的差异性
</w:t>
      </w:r>
    </w:p>
    <w:p>
      <w:pPr>
        <w:spacing w:after="0"/>
        <w:numPr>
          <w:ilvl w:val="0"/>
          <w:numId w:val="2"/>
        </w:numPr>
      </w:pPr>
      <w:r>
        <w:rPr/>
        <w:t xml:space="preserve">儿童相关的后遗症定义
</w:t>
      </w:r>
    </w:p>
    <w:p>
      <w:pPr>
        <w:spacing w:after="0"/>
        <w:numPr>
          <w:ilvl w:val="0"/>
          <w:numId w:val="2"/>
        </w:numPr>
      </w:pPr>
      <w:r>
        <w:rPr/>
        <w:t xml:space="preserve">其他可能出现的后遗症症状
</w:t>
      </w:r>
    </w:p>
    <w:p>
      <w:pPr>
        <w:spacing w:after="0"/>
        <w:numPr>
          <w:ilvl w:val="0"/>
          <w:numId w:val="2"/>
        </w:numPr>
      </w:pPr>
      <w:r>
        <w:rPr/>
        <w:t xml:space="preserve">对相关研究结果的深入分析和评估
</w:t>
      </w:r>
    </w:p>
    <w:p>
      <w:pPr>
        <w:numPr>
          <w:ilvl w:val="0"/>
          <w:numId w:val="2"/>
        </w:numPr>
      </w:pPr>
      <w:r>
        <w:rPr/>
        <w:t xml:space="preserve">完善对COVID-19后遗症的认识的需求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https://www.fullpicture.app/item/51e6857e567ace91efd344d84ca13814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52F34E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helancet.com/journals/laninf/article/PIIS1473-3099(21)00703-9/fulltext" TargetMode="External"/><Relationship Id="rId8" Type="http://schemas.openxmlformats.org/officeDocument/2006/relationships/hyperlink" Target="https://www.fullpicture.app/item/51e6857e567ace91efd344d84ca13814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2023-05-17T21:25:07+02:00</dcterms:created>
  <dcterms:modified xsi:type="dcterms:W3CDTF">2023-05-17T21:25:07+02:00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