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labour and its discontents: A reappraisal — University of Canberra Research Portal</w:t>
      </w:r>
      <w:br/>
      <w:hyperlink r:id="rId7" w:history="1">
        <w:r>
          <w:rPr>
            <w:color w:val="2980b9"/>
            <w:u w:val="single"/>
          </w:rPr>
          <w:t xml:space="preserve">https://researchprofiles.canberra.edu.au/en/publications/creative-labour-and-its-discontents-a-reappraisal</w:t>
        </w:r>
      </w:hyperlink>
    </w:p>
    <w:p>
      <w:pPr>
        <w:pStyle w:val="Heading1"/>
      </w:pPr>
      <w:bookmarkStart w:id="2" w:name="_Toc2"/>
      <w:r>
        <w:t>Article summary:</w:t>
      </w:r>
      <w:bookmarkEnd w:id="2"/>
    </w:p>
    <w:p>
      <w:pPr>
        <w:jc w:val="both"/>
      </w:pPr>
      <w:r>
        <w:rPr/>
        <w:t xml:space="preserve">1. There is a tension between the growing critique of precarious conditions in the creative sector and the continued growth of the Creative Industries.</w:t>
      </w:r>
    </w:p>
    <w:p>
      <w:pPr>
        <w:jc w:val="both"/>
      </w:pPr>
      <w:r>
        <w:rPr/>
        <w:t xml:space="preserve">2. This overview chapter examines this tension, discussing the ‘precarity’ perspective and acknowledging that early rhetoric around the Creative Industries was often overly romantic.</w:t>
      </w:r>
    </w:p>
    <w:p>
      <w:pPr>
        <w:jc w:val="both"/>
      </w:pPr>
      <w:r>
        <w:rPr/>
        <w:t xml:space="preserve">3. The Australian Research Council Centre of Excellence for Creative Industries and Innovation’s Trident methodology is discussed, with a focus on the ‘embedded workforce’ and those supplying Creative Services to other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tensions between critiques of precarious conditions in the creative sector and its continued growth as an industry sector. It acknowledges that early rhetoric around the Creative Industries was often overly romantic, but does not explore any potential biases or sources for this romanticism. The article also discusses the Australian Research Council Centre of Excellence for Creative Industries and Innovation’s Trident methodology, but does not provide any evidence to support its claims or explore any counterarguments or alternative perspectives on this methodology. Additionally, there is no discussion of potential risks associated with this methodology or how it might be improved upon. As such, while this article provides an interesting overview of some key issues related to creative labour, it lacks depth in terms of exploring potential biases or providing evidence to support its claims.</w:t>
      </w:r>
    </w:p>
    <w:p>
      <w:pPr>
        <w:pStyle w:val="Heading1"/>
      </w:pPr>
      <w:bookmarkStart w:id="5" w:name="_Toc5"/>
      <w:r>
        <w:t>Topics for further research:</w:t>
      </w:r>
      <w:bookmarkEnd w:id="5"/>
    </w:p>
    <w:p>
      <w:pPr>
        <w:spacing w:after="0"/>
        <w:numPr>
          <w:ilvl w:val="0"/>
          <w:numId w:val="2"/>
        </w:numPr>
      </w:pPr>
      <w:r>
        <w:rPr/>
        <w:t xml:space="preserve">Creative labour precarity</w:t>
      </w:r>
    </w:p>
    <w:p>
      <w:pPr>
        <w:spacing w:after="0"/>
        <w:numPr>
          <w:ilvl w:val="0"/>
          <w:numId w:val="2"/>
        </w:numPr>
      </w:pPr>
      <w:r>
        <w:rPr/>
        <w:t xml:space="preserve">Creative Industries biases</w:t>
      </w:r>
    </w:p>
    <w:p>
      <w:pPr>
        <w:spacing w:after="0"/>
        <w:numPr>
          <w:ilvl w:val="0"/>
          <w:numId w:val="2"/>
        </w:numPr>
      </w:pPr>
      <w:r>
        <w:rPr/>
        <w:t xml:space="preserve">Trident methodology criticism</w:t>
      </w:r>
    </w:p>
    <w:p>
      <w:pPr>
        <w:spacing w:after="0"/>
        <w:numPr>
          <w:ilvl w:val="0"/>
          <w:numId w:val="2"/>
        </w:numPr>
      </w:pPr>
      <w:r>
        <w:rPr/>
        <w:t xml:space="preserve">Creative Industries research risks</w:t>
      </w:r>
    </w:p>
    <w:p>
      <w:pPr>
        <w:spacing w:after="0"/>
        <w:numPr>
          <w:ilvl w:val="0"/>
          <w:numId w:val="2"/>
        </w:numPr>
      </w:pPr>
      <w:r>
        <w:rPr/>
        <w:t xml:space="preserve">Creative Industries innovation</w:t>
      </w:r>
    </w:p>
    <w:p>
      <w:pPr>
        <w:numPr>
          <w:ilvl w:val="0"/>
          <w:numId w:val="2"/>
        </w:numPr>
      </w:pPr>
      <w:r>
        <w:rPr/>
        <w:t xml:space="preserve">Creative Industries labour exploitation</w:t>
      </w:r>
    </w:p>
    <w:p>
      <w:pPr>
        <w:pStyle w:val="Heading1"/>
      </w:pPr>
      <w:bookmarkStart w:id="6" w:name="_Toc6"/>
      <w:r>
        <w:t>Report location:</w:t>
      </w:r>
      <w:bookmarkEnd w:id="6"/>
    </w:p>
    <w:p>
      <w:hyperlink r:id="rId8" w:history="1">
        <w:r>
          <w:rPr>
            <w:color w:val="2980b9"/>
            <w:u w:val="single"/>
          </w:rPr>
          <w:t xml:space="preserve">https://www.fullpicture.app/item/526be3ef8192aaf82fbd298c64e0c49a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2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profiles.canberra.edu.au/en/publications/creative-labour-and-its-discontents-a-reappraisal" TargetMode="External"/><Relationship Id="rId8" Type="http://schemas.openxmlformats.org/officeDocument/2006/relationships/hyperlink" Target="https://www.fullpicture.app/item/526be3ef8192aaf82fbd298c64e0c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2023-03-02T23:16:50+01:00</dcterms:created>
  <dcterms:modified xsi:type="dcterms:W3CDTF">2023-03-02T23:16:50+01:00</dcterms:modified>
</cp:coreProperties>
</file>

<file path=docProps/custom.xml><?xml version="1.0" encoding="utf-8"?>
<Properties xmlns="http://schemas.openxmlformats.org/officeDocument/2006/custom-properties" xmlns:vt="http://schemas.openxmlformats.org/officeDocument/2006/docPropsVTypes"/>
</file>