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RFC Genérico: RFC publico en general nacional y extranjero | ALU</w:t>
      </w:r>
      <w:br/>
      <w:hyperlink r:id="rId7" w:history="1">
        <w:r>
          <w:rPr>
            <w:color w:val="2980b9"/>
            <w:u w:val="single"/>
          </w:rPr>
          <w:t xml:space="preserve">https://alusolsc.com/blog/rfc-generico/</w:t>
        </w:r>
      </w:hyperlink>
    </w:p>
    <w:p>
      <w:pPr>
        <w:pStyle w:val="Heading1"/>
      </w:pPr>
      <w:bookmarkStart w:id="2" w:name="_Toc2"/>
      <w:r>
        <w:t>Article summary:</w:t>
      </w:r>
      <w:bookmarkEnd w:id="2"/>
    </w:p>
    <w:p>
      <w:pPr>
        <w:jc w:val="both"/>
      </w:pPr>
      <w:r>
        <w:rPr/>
        <w:t xml:space="preserve">1. El RFC genérico es una clave utilizada para emitir facturas cuando no se conoce el RFC del receptor.</w:t>
      </w:r>
    </w:p>
    <w:p>
      <w:pPr>
        <w:jc w:val="both"/>
      </w:pPr>
      <w:r>
        <w:rPr/>
        <w:t xml:space="preserve">2. Existen dos claves genéricas del RFC: una para ventas nacionales al público en general y otra para ventas a clientes extranjeros.</w:t>
      </w:r>
    </w:p>
    <w:p>
      <w:pPr>
        <w:jc w:val="both"/>
      </w:pPr>
      <w:r>
        <w:rPr/>
        <w:t xml:space="preserve">3. El RFC genérico facilita el cumplimiento de las obligaciones fiscales en situaciones donde no se cuenta con un RFC específico.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sobre el RFC genérico, que es utilizado en México para emitir facturas cuando el receptor no tiene un RFC con homoclave propio. El artículo explica que el RFC genérico se utiliza tanto para ventas nacionales como para ventas a clientes extranjeros.</w:t>
      </w:r>
    </w:p>
    <w:p>
      <w:pPr>
        <w:jc w:val="both"/>
      </w:pPr>
      <w:r>
        <w:rPr/>
        <w:t xml:space="preserve"/>
      </w:r>
    </w:p>
    <w:p>
      <w:pPr>
        <w:jc w:val="both"/>
      </w:pPr>
      <w:r>
        <w:rPr/>
        <w:t xml:space="preserve">El artículo presenta de manera clara y concisa la definición y el propósito del RFC genérico, así como las claves específicas utilizadas para ventas nacionales y extranjeras. También menciona la relación entre el RFC genérico y la factura global o de ventas al público en general.</w:t>
      </w:r>
    </w:p>
    <w:p>
      <w:pPr>
        <w:jc w:val="both"/>
      </w:pPr>
      <w:r>
        <w:rPr/>
        <w:t xml:space="preserve"/>
      </w:r>
    </w:p>
    <w:p>
      <w:pPr>
        <w:jc w:val="both"/>
      </w:pPr>
      <w:r>
        <w:rPr/>
        <w:t xml:space="preserve">Sin embargo, el artículo carece de fuentes o referencias que respalden la información proporcionada. No se mencionan las regulaciones fiscales específicas que respaldan el uso del RFC genérico ni se proporciona evidencia adicional para respaldar las afirmaciones realizadas.</w:t>
      </w:r>
    </w:p>
    <w:p>
      <w:pPr>
        <w:jc w:val="both"/>
      </w:pPr>
      <w:r>
        <w:rPr/>
        <w:t xml:space="preserve"/>
      </w:r>
    </w:p>
    <w:p>
      <w:pPr>
        <w:jc w:val="both"/>
      </w:pPr>
      <w:r>
        <w:rPr/>
        <w:t xml:space="preserve">Además, el artículo no explora posibles contraargumentos o riesgos asociados con el uso del RFC genérico. No se mencionan posibles problemas legales o fiscales que podrían surgir al utilizar esta clave genérica en lugar de un RFC con homoclave individual.</w:t>
      </w:r>
    </w:p>
    <w:p>
      <w:pPr>
        <w:jc w:val="both"/>
      </w:pPr>
      <w:r>
        <w:rPr/>
        <w:t xml:space="preserve"/>
      </w:r>
    </w:p>
    <w:p>
      <w:pPr>
        <w:jc w:val="both"/>
      </w:pPr>
      <w:r>
        <w:rPr/>
        <w:t xml:space="preserve">En general, aunque el artículo brinda una descripción básica del RFC genérico y su uso, carece de profundidad y evidencia suficiente para respaldar sus afirmaciones. Se recomendaría buscar fuentes adicionales y explorar los posibles riesgos o desventajas asociados con el uso del RFC genérico.</w:t>
      </w:r>
    </w:p>
    <w:p>
      <w:pPr>
        <w:pStyle w:val="Heading1"/>
      </w:pPr>
      <w:bookmarkStart w:id="5" w:name="_Toc5"/>
      <w:r>
        <w:t>Topics for further research:</w:t>
      </w:r>
      <w:bookmarkEnd w:id="5"/>
    </w:p>
    <w:p>
      <w:pPr>
        <w:spacing w:after="0"/>
        <w:numPr>
          <w:ilvl w:val="0"/>
          <w:numId w:val="2"/>
        </w:numPr>
      </w:pPr>
      <w:r>
        <w:rPr/>
        <w:t xml:space="preserve">Regulaciones fiscales en México para el uso del RFC genérico en facturación
</w:t>
      </w:r>
    </w:p>
    <w:p>
      <w:pPr>
        <w:spacing w:after="0"/>
        <w:numPr>
          <w:ilvl w:val="0"/>
          <w:numId w:val="2"/>
        </w:numPr>
      </w:pPr>
      <w:r>
        <w:rPr/>
        <w:t xml:space="preserve">Riesgos legales y fiscales asociados con el uso del RFC genérico en México
</w:t>
      </w:r>
    </w:p>
    <w:p>
      <w:pPr>
        <w:spacing w:after="0"/>
        <w:numPr>
          <w:ilvl w:val="0"/>
          <w:numId w:val="2"/>
        </w:numPr>
      </w:pPr>
      <w:r>
        <w:rPr/>
        <w:t xml:space="preserve">Alternativas al RFC genérico para emitir facturas en México
</w:t>
      </w:r>
    </w:p>
    <w:p>
      <w:pPr>
        <w:spacing w:after="0"/>
        <w:numPr>
          <w:ilvl w:val="0"/>
          <w:numId w:val="2"/>
        </w:numPr>
      </w:pPr>
      <w:r>
        <w:rPr/>
        <w:t xml:space="preserve">Requisitos específicos para emitir facturas a clientes extranjeros en México
</w:t>
      </w:r>
    </w:p>
    <w:p>
      <w:pPr>
        <w:spacing w:after="0"/>
        <w:numPr>
          <w:ilvl w:val="0"/>
          <w:numId w:val="2"/>
        </w:numPr>
      </w:pPr>
      <w:r>
        <w:rPr/>
        <w:t xml:space="preserve">Diferencias entre el RFC genérico y el RFC con homoclave individual en México
</w:t>
      </w:r>
    </w:p>
    <w:p>
      <w:pPr>
        <w:numPr>
          <w:ilvl w:val="0"/>
          <w:numId w:val="2"/>
        </w:numPr>
      </w:pPr>
      <w:r>
        <w:rPr/>
        <w:t xml:space="preserve">Evidencia y fuentes confiables sobre el uso del RFC genérico en México</w:t>
      </w:r>
    </w:p>
    <w:p>
      <w:pPr>
        <w:pStyle w:val="Heading1"/>
      </w:pPr>
      <w:bookmarkStart w:id="6" w:name="_Toc6"/>
      <w:r>
        <w:t>Report location:</w:t>
      </w:r>
      <w:bookmarkEnd w:id="6"/>
    </w:p>
    <w:p>
      <w:hyperlink r:id="rId8" w:history="1">
        <w:r>
          <w:rPr>
            <w:color w:val="2980b9"/>
            <w:u w:val="single"/>
          </w:rPr>
          <w:t xml:space="preserve">https://www.fullpicture.app/item/53667655a378d47e30756ebe063d94c3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4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usolsc.com/blog/rfc-generico/" TargetMode="External"/><Relationship Id="rId8" Type="http://schemas.openxmlformats.org/officeDocument/2006/relationships/hyperlink" Target="https://www.fullpicture.app/item/53667655a378d47e30756ebe063d9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2024-01-11T09:54:03+01:00</dcterms:created>
  <dcterms:modified xsi:type="dcterms:W3CDTF">2024-01-11T09:54:03+01:00</dcterms:modified>
</cp:coreProperties>
</file>

<file path=docProps/custom.xml><?xml version="1.0" encoding="utf-8"?>
<Properties xmlns="http://schemas.openxmlformats.org/officeDocument/2006/custom-properties" xmlns:vt="http://schemas.openxmlformats.org/officeDocument/2006/docPropsVTypes"/>
</file>