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Defining the determinants of vaccine uptake and undervaccination in migrant populations in Europe to improve routine and COVID-19 vaccine uptake: a systematic review - PubMed</w:t>
      </w:r>
      <w:br/>
      <w:hyperlink r:id="rId7" w:history="1">
        <w:r>
          <w:rPr>
            <w:color w:val="2980b9"/>
            <w:u w:val="single"/>
          </w:rPr>
          <w:t xml:space="preserve">https://pubmed.ncbi.nlm.nih.gov/35429463/</w:t>
        </w:r>
      </w:hyperlink>
    </w:p>
    <w:p>
      <w:pPr>
        <w:pStyle w:val="Heading1"/>
      </w:pPr>
      <w:bookmarkStart w:id="2" w:name="_Toc2"/>
      <w:r>
        <w:t>Article summary:</w:t>
      </w:r>
      <w:bookmarkEnd w:id="2"/>
    </w:p>
    <w:p>
      <w:pPr>
        <w:jc w:val="both"/>
      </w:pPr>
      <w:r>
        <w:rPr/>
        <w:t xml:space="preserve">1. This systematic review explored the barriers and facilitators of vaccine uptake, as well as sociodemographic determinants of undervaccination among migrants in the EU and European Economic Area, the UK, and Switzerland.</w:t>
      </w:r>
    </w:p>
    <w:p>
      <w:pPr>
        <w:jc w:val="both"/>
      </w:pPr>
      <w:r>
        <w:rPr/>
        <w:t xml:space="preserve">2. Multiple access barriers were identified for key vaccines including measles-mumps-rubella, diphtheria-pertussis-tetanus, human papillomavirus, influenza, polio, and COVID-19 vaccines.</w:t>
      </w:r>
    </w:p>
    <w:p>
      <w:pPr>
        <w:jc w:val="both"/>
      </w:pPr>
      <w:r>
        <w:rPr/>
        <w:t xml:space="preserve">3. Acceptance barriers were mostly reported in eastern European and Muslim migrants for human papillomavirus, measles, and influenza vaccines.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systematic review that explores the barriers and facilitators of vaccine uptake among migrant populations in Europe to improve routine and COVID-19 vaccine uptake. The authors conducted a comprehensive search of MEDLINE, CINAHL, and PsycINFO from 2000 to 2021 for primary research with no language restrictions. The study found multiple access barriers for key vaccines including measles-mumps-rubella, diphtheria-pertussis-tetanus, human papillomavirus, influenza, polio, and COVID-19 vaccines. Acceptance barriers were mostly reported in eastern European and Muslim migrants for human papillomavirus, measles, and influenza vaccines.</w:t>
      </w:r>
    </w:p>
    <w:p>
      <w:pPr>
        <w:jc w:val="both"/>
      </w:pPr>
      <w:r>
        <w:rPr/>
        <w:t xml:space="preserve">The article is generally reliable as it is based on a systematic review which follows established protocols to ensure accuracy of results. The authors also provide detailed information about their methods which adds to the trustworthiness of the article. Furthermore they provide a list of potential biases that could have affected their results such as language bias due to only searching English language sources or publication bias due to only searching published studies which could have led to an overestimation of positive results or an underestimation of negative results.</w:t>
      </w:r>
    </w:p>
    <w:p>
      <w:pPr>
        <w:jc w:val="both"/>
      </w:pPr>
      <w:r>
        <w:rPr/>
        <w:t xml:space="preserve">The article does not appear to be one sided or promotional in nature as it provides an objective overview of the findings from the systematic review without any bias towards any particular point of view or opinion on vaccination uptake among migrant populations in Europe. It also acknowledges potential limitations such as language bias due to only searching English language sources or publication bias due to only searching published studies which could have led to an overestimation of positive results or an underestimation of negative results. Additionally it provides recommendations on how best to address access and acceptance barriers when offering catch up vaccinations to migrants such as tailored vaccination messaging community outreach and behavioural nudges which can help facilitate uptake amongst this population group.</w:t>
      </w:r>
    </w:p>
    <w:p>
      <w:pPr>
        <w:pStyle w:val="Heading1"/>
      </w:pPr>
      <w:bookmarkStart w:id="5" w:name="_Toc5"/>
      <w:r>
        <w:t>Topics for further research:</w:t>
      </w:r>
      <w:bookmarkEnd w:id="5"/>
    </w:p>
    <w:p>
      <w:pPr>
        <w:spacing w:after="0"/>
        <w:numPr>
          <w:ilvl w:val="0"/>
          <w:numId w:val="2"/>
        </w:numPr>
      </w:pPr>
      <w:r>
        <w:rPr/>
        <w:t xml:space="preserve">Vaccine uptake among migrant populations in Europe</w:t>
      </w:r>
    </w:p>
    <w:p>
      <w:pPr>
        <w:spacing w:after="0"/>
        <w:numPr>
          <w:ilvl w:val="0"/>
          <w:numId w:val="2"/>
        </w:numPr>
      </w:pPr>
      <w:r>
        <w:rPr/>
        <w:t xml:space="preserve">Vaccine access barriers for migrants</w:t>
      </w:r>
    </w:p>
    <w:p>
      <w:pPr>
        <w:spacing w:after="0"/>
        <w:numPr>
          <w:ilvl w:val="0"/>
          <w:numId w:val="2"/>
        </w:numPr>
      </w:pPr>
      <w:r>
        <w:rPr/>
        <w:t xml:space="preserve">Vaccine acceptance barriers for migrants</w:t>
      </w:r>
    </w:p>
    <w:p>
      <w:pPr>
        <w:spacing w:after="0"/>
        <w:numPr>
          <w:ilvl w:val="0"/>
          <w:numId w:val="2"/>
        </w:numPr>
      </w:pPr>
      <w:r>
        <w:rPr/>
        <w:t xml:space="preserve">Vaccine uptake interventions for migrants</w:t>
      </w:r>
    </w:p>
    <w:p>
      <w:pPr>
        <w:spacing w:after="0"/>
        <w:numPr>
          <w:ilvl w:val="0"/>
          <w:numId w:val="2"/>
        </w:numPr>
      </w:pPr>
      <w:r>
        <w:rPr/>
        <w:t xml:space="preserve">Vaccine uptake strategies for migrants</w:t>
      </w:r>
    </w:p>
    <w:p>
      <w:pPr>
        <w:numPr>
          <w:ilvl w:val="0"/>
          <w:numId w:val="2"/>
        </w:numPr>
      </w:pPr>
      <w:r>
        <w:rPr/>
        <w:t xml:space="preserve">Vaccine uptake promotion for migrants</w:t>
      </w:r>
    </w:p>
    <w:p>
      <w:pPr>
        <w:pStyle w:val="Heading1"/>
      </w:pPr>
      <w:bookmarkStart w:id="6" w:name="_Toc6"/>
      <w:r>
        <w:t>Report location:</w:t>
      </w:r>
      <w:bookmarkEnd w:id="6"/>
    </w:p>
    <w:p>
      <w:hyperlink r:id="rId8" w:history="1">
        <w:r>
          <w:rPr>
            <w:color w:val="2980b9"/>
            <w:u w:val="single"/>
          </w:rPr>
          <w:t xml:space="preserve">https://www.fullpicture.app/item/539fed66a218e8389dbccf42700c0ce8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CF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29463/" TargetMode="External"/><Relationship Id="rId8" Type="http://schemas.openxmlformats.org/officeDocument/2006/relationships/hyperlink" Target="https://www.fullpicture.app/item/539fed66a218e8389dbccf42700c0c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2023-03-01T07:41:41+01:00</dcterms:created>
  <dcterms:modified xsi:type="dcterms:W3CDTF">2023-03-01T07:41:41+01:00</dcterms:modified>
</cp:coreProperties>
</file>

<file path=docProps/custom.xml><?xml version="1.0" encoding="utf-8"?>
<Properties xmlns="http://schemas.openxmlformats.org/officeDocument/2006/custom-properties" xmlns:vt="http://schemas.openxmlformats.org/officeDocument/2006/docPropsVTypes"/>
</file>