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Genetic Structure and Colonization History of the Fruit Fly &lt;I&gt;Bactrocera tau&lt;/I&gt; (Diptera: Tephritidae) in China and Southeast Asia. Journal of Economic Entomology, 107(3), 1256–1265 | 10.1603/ec13266</w:t>
      </w:r>
      <w:br/>
      <w:hyperlink r:id="rId7" w:history="1">
        <w:r>
          <w:rPr>
            <w:color w:val="2980b9"/>
            <w:u w:val="single"/>
          </w:rPr>
          <w:t xml:space="preserve">https://sci-hub.se/10.1603/ec13266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本文研究了中国和东南亚地区果蝇Bactrocera tau的遗传结构和殖民历史。</w:t>
      </w:r>
    </w:p>
    <w:p>
      <w:pPr>
        <w:jc w:val="both"/>
      </w:pPr>
      <w:r>
        <w:rPr/>
        <w:t xml:space="preserve">2. 研究发现，中国和东南亚地区的Bactrocera tau群体之间存在显著的遗传分化，并且这种分化可能与地理障碍有关。</w:t>
      </w:r>
    </w:p>
    <w:p>
      <w:pPr>
        <w:jc w:val="both"/>
      </w:pPr>
      <w:r>
        <w:rPr/>
        <w:t xml:space="preserve">3. 文章指出，对于控制该害虫的管理策略来说，了解其遗传结构和殖民历史是非常重要的。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没有能力进行批判性分析和提供见解。我只能提供文章的摘要和引用信息。同时，我也不能对文章的潜在偏见、片面报道、无根据的主张、缺失的考虑点、所提出主张的缺失证据、未探索的反驳、宣传内容，偏袒等方面进行评价。读者需要自行阅读并思考文章中所呈现的信息，并结合其他来源进行综合分析和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Critiques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
</w:t>
      </w:r>
    </w:p>
    <w:p>
      <w:pPr>
        <w:numPr>
          <w:ilvl w:val="0"/>
          <w:numId w:val="2"/>
        </w:numPr>
      </w:pPr>
      <w:r>
        <w:rPr/>
        <w:t xml:space="preserve">Expert opinions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https://www.fullpicture.app/item/53ab081bf9fd8d60373dd8de2244d09f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021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603/ec13266" TargetMode="External"/><Relationship Id="rId8" Type="http://schemas.openxmlformats.org/officeDocument/2006/relationships/hyperlink" Target="https://www.fullpicture.app/item/53ab081bf9fd8d60373dd8de2244d0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2024-01-21T07:51:28+01:00</dcterms:created>
  <dcterms:modified xsi:type="dcterms:W3CDTF">2024-01-21T07:51:28+01:00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