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Dynamic Capabilities — David J. Teece</w:t>
      </w:r>
      <w:br/>
      <w:hyperlink r:id="rId7" w:history="1">
        <w:r>
          <w:rPr>
            <w:color w:val="2980b9"/>
            <w:u w:val="single"/>
          </w:rPr>
          <w:t xml:space="preserve">https://www.davidjteece.com/dynamic-capabilities/</w:t>
        </w:r>
      </w:hyperlink>
    </w:p>
    <w:p>
      <w:pPr>
        <w:pStyle w:val="Heading1"/>
      </w:pPr>
      <w:bookmarkStart w:id="2" w:name="_Toc2"/>
      <w:r>
        <w:t>Article summary:</w:t>
      </w:r>
      <w:bookmarkEnd w:id="2"/>
    </w:p>
    <w:p>
      <w:pPr>
        <w:jc w:val="both"/>
      </w:pPr>
      <w:r>
        <w:rPr/>
        <w:t xml:space="preserve">1. Dynamic capabilities refer to an organization's ability to create, extend, or modify its resource base in order to gain a competitive advantage.</w:t>
      </w:r>
    </w:p>
    <w:p>
      <w:pPr>
        <w:jc w:val="both"/>
      </w:pPr>
      <w:r>
        <w:rPr/>
        <w:t xml:space="preserve">2. Three dynamic capabilities are necessary for organizations to meet new challenges: the capability to learn quickly, build strategic assets, and transform existing assets.</w:t>
      </w:r>
    </w:p>
    <w:p>
      <w:pPr>
        <w:jc w:val="both"/>
      </w:pPr>
      <w:r>
        <w:rPr/>
        <w:t xml:space="preserve">3. David J. Teece is an expert on the theory of the firm and strategic management, economics of technological change, knowledge management, technology transfer, and antitrust economics and innovation.</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evidence for its claims in the form of citations from other sources such as books and articles written by experts in the field. The article also provides a detailed explanation of dynamic capabilities and how they can be used by organizations to gain a competitive advantage. Additionally, it provides information about Professor David Teece’s expertise in the field which adds credibility to the article’s claims.</w:t>
      </w:r>
    </w:p>
    <w:p>
      <w:pPr>
        <w:jc w:val="both"/>
      </w:pPr>
      <w:r>
        <w:rPr/>
        <w:t xml:space="preserve">The only potential bias that could be present in this article is that it does not provide any counterarguments or opposing views on dynamic capabilities or Professor Teece’s expertise in the field. This could lead readers to believe that all of the claims made in this article are true without considering any potential drawbacks or risks associated with dynamic capabilities or Professor Teece’s work.</w:t>
      </w:r>
    </w:p>
    <w:p>
      <w:pPr>
        <w:pStyle w:val="Heading1"/>
      </w:pPr>
      <w:bookmarkStart w:id="5" w:name="_Toc5"/>
      <w:r>
        <w:t>Topics for further research:</w:t>
      </w:r>
      <w:bookmarkEnd w:id="5"/>
    </w:p>
    <w:p>
      <w:pPr>
        <w:spacing w:after="0"/>
        <w:numPr>
          <w:ilvl w:val="0"/>
          <w:numId w:val="2"/>
        </w:numPr>
      </w:pPr>
      <w:r>
        <w:rPr/>
        <w:t xml:space="preserve">Dynamic capabilities and competitive advantage</w:t>
      </w:r>
    </w:p>
    <w:p>
      <w:pPr>
        <w:spacing w:after="0"/>
        <w:numPr>
          <w:ilvl w:val="0"/>
          <w:numId w:val="2"/>
        </w:numPr>
      </w:pPr>
      <w:r>
        <w:rPr/>
        <w:t xml:space="preserve">Dynamic capabilities and organizational strategy</w:t>
      </w:r>
    </w:p>
    <w:p>
      <w:pPr>
        <w:spacing w:after="0"/>
        <w:numPr>
          <w:ilvl w:val="0"/>
          <w:numId w:val="2"/>
        </w:numPr>
      </w:pPr>
      <w:r>
        <w:rPr/>
        <w:t xml:space="preserve">David Teece and dynamic capabilities</w:t>
      </w:r>
    </w:p>
    <w:p>
      <w:pPr>
        <w:spacing w:after="0"/>
        <w:numPr>
          <w:ilvl w:val="0"/>
          <w:numId w:val="2"/>
        </w:numPr>
      </w:pPr>
      <w:r>
        <w:rPr/>
        <w:t xml:space="preserve">Dynamic capabilities and innovation</w:t>
      </w:r>
    </w:p>
    <w:p>
      <w:pPr>
        <w:spacing w:after="0"/>
        <w:numPr>
          <w:ilvl w:val="0"/>
          <w:numId w:val="2"/>
        </w:numPr>
      </w:pPr>
      <w:r>
        <w:rPr/>
        <w:t xml:space="preserve">Dynamic capabilities and resource allocation</w:t>
      </w:r>
    </w:p>
    <w:p>
      <w:pPr>
        <w:numPr>
          <w:ilvl w:val="0"/>
          <w:numId w:val="2"/>
        </w:numPr>
      </w:pPr>
      <w:r>
        <w:rPr/>
        <w:t xml:space="preserve">Dynamic capabilities and organizational performance</w:t>
      </w:r>
    </w:p>
    <w:p>
      <w:pPr>
        <w:pStyle w:val="Heading1"/>
      </w:pPr>
      <w:bookmarkStart w:id="6" w:name="_Toc6"/>
      <w:r>
        <w:t>Report location:</w:t>
      </w:r>
      <w:bookmarkEnd w:id="6"/>
    </w:p>
    <w:p>
      <w:hyperlink r:id="rId8" w:history="1">
        <w:r>
          <w:rPr>
            <w:color w:val="2980b9"/>
            <w:u w:val="single"/>
          </w:rPr>
          <w:t xml:space="preserve">https://www.fullpicture.app/item/541071eacdd082d1043908861a8c56e8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139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vidjteece.com/dynamic-capabilities/" TargetMode="External"/><Relationship Id="rId8" Type="http://schemas.openxmlformats.org/officeDocument/2006/relationships/hyperlink" Target="https://www.fullpicture.app/item/541071eacdd082d1043908861a8c56e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2023-03-01T18:34:32+01:00</dcterms:created>
  <dcterms:modified xsi:type="dcterms:W3CDTF">2023-03-01T18:34:32+01:00</dcterms:modified>
</cp:coreProperties>
</file>

<file path=docProps/custom.xml><?xml version="1.0" encoding="utf-8"?>
<Properties xmlns="http://schemas.openxmlformats.org/officeDocument/2006/custom-properties" xmlns:vt="http://schemas.openxmlformats.org/officeDocument/2006/docPropsVTypes"/>
</file>