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3D微流体肝脏培养作为乙型肝炎病毒感染的生理临床前工具 - PMC</w:t>
      </w:r>
      <w:br/>
      <w:hyperlink r:id="rId7" w:history="1">
        <w:r>
          <w:rPr>
            <w:color w:val="2980b9"/>
            <w:u w:val="single"/>
          </w:rPr>
          <w:t xml:space="preserve">https://www.ncbi.nlm.nih.gov/pmc/articles/PMC5813240/</w:t>
        </w:r>
      </w:hyperlink>
    </w:p>
    <w:p>
      <w:pPr>
        <w:pStyle w:val="Heading1"/>
      </w:pPr>
      <w:bookmarkStart w:id="2" w:name="_Toc2"/>
      <w:r>
        <w:t>Article summary:</w:t>
      </w:r>
      <w:bookmarkEnd w:id="2"/>
    </w:p>
    <w:p>
      <w:pPr>
        <w:jc w:val="both"/>
      </w:pPr>
      <w:r>
        <w:rPr/>
        <w:t xml:space="preserve">1. This article describes a 3D microfluidic PHH system that allows HBV infection and can be maintained for at least 40 days.</w:t>
      </w:r>
    </w:p>
    <w:p>
      <w:pPr>
        <w:jc w:val="both"/>
      </w:pPr>
      <w:r>
        <w:rPr/>
        <w:t xml:space="preserve">2. This system is able to recapitulate the entire HBV life cycle, including replication of patient-sourced HBV and maintenance of cccDNA.</w:t>
      </w:r>
    </w:p>
    <w:p>
      <w:pPr>
        <w:jc w:val="both"/>
      </w:pPr>
      <w:r>
        <w:rPr/>
        <w:t xml:space="preserve">3. The 3D PHH cultures enable infection studies at 10,000-fold lower MOI than other advanced culture models, and co-cultures of PHH and primary Kupffer cells can be used to identify immune effector cell origins.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“3D Microfluidic Hepatic Cultures as a Preclinical Tool for Hepatitis B Virus Infection” is an informative piece that provides insight into the development of a novel 3D microfluidic PHH system that allows HBV infection and can be maintained for at least 40 days. The article is well written and provides detailed information on the system’s ability to recapitulate the entire HBV life cycle, including replication of patient-sourced HBV and maintenance of cccDNA, as well as its ability to enable infection studies at 10,000-fold lower MOI than other advanced culture models. Additionally, the article discusses how co-cultures of PHH and primary Kupffer cells can be used to identify immune effector cell origins.</w:t>
      </w:r>
    </w:p>
    <w:p>
      <w:pPr>
        <w:jc w:val="both"/>
      </w:pPr>
      <w:r>
        <w:rPr/>
        <w:t xml:space="preserve">The article appears to be reliable in terms of its content; it provides detailed information on the development of this novel 3D microfluidic PHH system and its potential applications in preclinical research related to HBV infection. The authors provide evidence for their claims by citing relevant literature throughout the article, which adds credibility to their work. Furthermore, there does not appear to be any promotional content or partiality in the article; all points are presented objectively with both sides being considered equally.</w:t>
      </w:r>
    </w:p>
    <w:p>
      <w:pPr>
        <w:jc w:val="both"/>
      </w:pPr>
      <w:r>
        <w:rPr/>
        <w:t xml:space="preserve">However, there are some missing points of consideration that should have been addressed in order to make this article more comprehensive. For example, while the authors discuss how this platform could potentially be used for drug treatment responses, they do not provide any evidence or data regarding how effective these treatments may be or what potential risks may arise from using them. Additionally, while they discuss how KC fail to recognize HBV infection and do not participate in an early innate immune response upon exogenous stimulation, they do not explore any possible counterarguments or alternative explanations for this phenomenon.</w:t>
      </w:r>
    </w:p>
    <w:p>
      <w:pPr>
        <w:pStyle w:val="Heading1"/>
      </w:pPr>
      <w:bookmarkStart w:id="5" w:name="_Toc5"/>
      <w:r>
        <w:t>Topics for further research:</w:t>
      </w:r>
      <w:bookmarkEnd w:id="5"/>
    </w:p>
    <w:p>
      <w:pPr>
        <w:spacing w:after="0"/>
        <w:numPr>
          <w:ilvl w:val="0"/>
          <w:numId w:val="2"/>
        </w:numPr>
      </w:pPr>
      <w:r>
        <w:rPr/>
        <w:t xml:space="preserve">Drug treatment responses for HBV infection</w:t>
      </w:r>
    </w:p>
    <w:p>
      <w:pPr>
        <w:spacing w:after="0"/>
        <w:numPr>
          <w:ilvl w:val="0"/>
          <w:numId w:val="2"/>
        </w:numPr>
      </w:pPr>
      <w:r>
        <w:rPr/>
        <w:t xml:space="preserve">Risks associated with drug treatments for HBV infection</w:t>
      </w:r>
    </w:p>
    <w:p>
      <w:pPr>
        <w:spacing w:after="0"/>
        <w:numPr>
          <w:ilvl w:val="0"/>
          <w:numId w:val="2"/>
        </w:numPr>
      </w:pPr>
      <w:r>
        <w:rPr/>
        <w:t xml:space="preserve">Innate immune response to HBV infection</w:t>
      </w:r>
    </w:p>
    <w:p>
      <w:pPr>
        <w:spacing w:after="0"/>
        <w:numPr>
          <w:ilvl w:val="0"/>
          <w:numId w:val="2"/>
        </w:numPr>
      </w:pPr>
      <w:r>
        <w:rPr/>
        <w:t xml:space="preserve">Alternative explanations for KC failure to recognize HBV infection</w:t>
      </w:r>
    </w:p>
    <w:p>
      <w:pPr>
        <w:spacing w:after="0"/>
        <w:numPr>
          <w:ilvl w:val="0"/>
          <w:numId w:val="2"/>
        </w:numPr>
      </w:pPr>
      <w:r>
        <w:rPr/>
        <w:t xml:space="preserve">Preclinical studies of HBV infection</w:t>
      </w:r>
    </w:p>
    <w:p>
      <w:pPr>
        <w:numPr>
          <w:ilvl w:val="0"/>
          <w:numId w:val="2"/>
        </w:numPr>
      </w:pPr>
      <w:r>
        <w:rPr/>
        <w:t xml:space="preserve">3D microfluidic PHH system applications in HBV research</w:t>
      </w:r>
    </w:p>
    <w:p>
      <w:pPr>
        <w:pStyle w:val="Heading1"/>
      </w:pPr>
      <w:bookmarkStart w:id="6" w:name="_Toc6"/>
      <w:r>
        <w:t>Report location:</w:t>
      </w:r>
      <w:bookmarkEnd w:id="6"/>
    </w:p>
    <w:p>
      <w:hyperlink r:id="rId8" w:history="1">
        <w:r>
          <w:rPr>
            <w:color w:val="2980b9"/>
            <w:u w:val="single"/>
          </w:rPr>
          <w:t xml:space="preserve">https://www.fullpicture.app/item/549eb1bb2d08470db89e74bac4d4ab60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F8F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813240/" TargetMode="External"/><Relationship Id="rId8" Type="http://schemas.openxmlformats.org/officeDocument/2006/relationships/hyperlink" Target="https://www.fullpicture.app/item/549eb1bb2d08470db89e74bac4d4ab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2023-03-01T23:03:07+01:00</dcterms:created>
  <dcterms:modified xsi:type="dcterms:W3CDTF">2023-03-01T23:03:07+01:00</dcterms:modified>
</cp:coreProperties>
</file>

<file path=docProps/custom.xml><?xml version="1.0" encoding="utf-8"?>
<Properties xmlns="http://schemas.openxmlformats.org/officeDocument/2006/custom-properties" xmlns:vt="http://schemas.openxmlformats.org/officeDocument/2006/docPropsVTypes"/>
</file>