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中国可持续发展研究会</w:t>
      </w:r>
      <w:br/>
      <w:hyperlink r:id="rId7" w:history="1">
        <w:r>
          <w:rPr>
            <w:color w:val="2980b9"/>
            <w:u w:val="single"/>
          </w:rPr>
          <w:t xml:space="preserve">https://cssd1992.org/issue_info.aspx?ID=999</w:t>
        </w:r>
      </w:hyperlink>
    </w:p>
    <w:p>
      <w:pPr>
        <w:pStyle w:val="Heading1"/>
      </w:pPr>
      <w:bookmarkStart w:id="2" w:name="_Toc2"/>
      <w:r>
        <w:t>Article summary:</w:t>
      </w:r>
      <w:bookmarkEnd w:id="2"/>
    </w:p>
    <w:p>
      <w:pPr>
        <w:jc w:val="both"/>
      </w:pPr>
      <w:r>
        <w:rPr/>
        <w:t xml:space="preserve">1. 更新流域生态环境保护规划的概念和措施调整，以实现“双碳”目标。文章指出，将单一的气候变化适应战略转变为绿色低碳发展战略，需要将“双碳”目标融入流域治理中。为了实施“双碳”目标，首先要更新流域生态环境保护规划的编制和实施概念，并采取“适应性管理”的概念。具体措施包括确定多种技术解决方案、提供额外资源保障、建立相应的修正程序，并根据行动效果和新获得的信息动态调整计划。</w:t>
      </w:r>
    </w:p>
    <w:p>
      <w:pPr>
        <w:jc w:val="both"/>
      </w:pPr>
      <w:r>
        <w:rPr/>
        <w:t xml:space="preserve"/>
      </w:r>
    </w:p>
    <w:p>
      <w:pPr>
        <w:jc w:val="both"/>
      </w:pPr>
      <w:r>
        <w:rPr/>
        <w:t xml:space="preserve">2. 调整流域生态环境保护规划中的具体措施，以满足实现“双碳”目标的需求。文章提出了三个具体措施：推进流域能源低碳开发利用，促进化石能源高效利用、水电资源谨慎开发利用、风能开发重点发展，并充分发挥可再生能源消费系统的保障作用；促进高能耗行业污染减排与碳减排协同效应，充分发挥碳排放影响评估系统、清洁生产系统和碳排放交易系统的保障作用；加强流域生态环境恢复，充分发挥生态补偿制度的保障功能。</w:t>
      </w:r>
    </w:p>
    <w:p>
      <w:pPr>
        <w:jc w:val="both"/>
      </w:pPr>
      <w:r>
        <w:rPr/>
        <w:t xml:space="preserve"/>
      </w:r>
    </w:p>
    <w:p>
      <w:pPr>
        <w:jc w:val="both"/>
      </w:pPr>
      <w:r>
        <w:rPr/>
        <w:t xml:space="preserve">3. 建立多中心行动网络，赋予流域内地方政府更多自治权。文章指出，为了实现“双碳”目标，在流域治理中应建立多中心行动网络，并赋予流域内地方政府更多自治权。这样可以更好地适应具体情况，实施相应的措施和方法。</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这篇文章主要讨论了在“双碳”目标下的流域生态环境保护规划，提出了更新概念和调整措施的问题。然而，文章存在一些潜在的偏见和片面报道。</w:t>
      </w:r>
    </w:p>
    <w:p>
      <w:pPr>
        <w:jc w:val="both"/>
      </w:pPr>
      <w:r>
        <w:rPr/>
        <w:t xml:space="preserve"/>
      </w:r>
    </w:p>
    <w:p>
      <w:pPr>
        <w:jc w:val="both"/>
      </w:pPr>
      <w:r>
        <w:rPr/>
        <w:t xml:space="preserve">首先，文章没有提及可能存在的风险和挑战。实施“双碳”目标需要大量资源和技术支持，但文章并未深入探讨如何解决这些问题。此外，文章也没有平等地呈现双方观点，只强调了推动低碳发展的重要性，而忽略了其他可能的选择。</w:t>
      </w:r>
    </w:p>
    <w:p>
      <w:pPr>
        <w:jc w:val="both"/>
      </w:pPr>
      <w:r>
        <w:rPr/>
        <w:t xml:space="preserve"/>
      </w:r>
    </w:p>
    <w:p>
      <w:pPr>
        <w:jc w:val="both"/>
      </w:pPr>
      <w:r>
        <w:rPr/>
        <w:t xml:space="preserve">其次，文章中提到了一些主张，但缺乏充分的证据支持。例如，在推动河流流域能源低碳化方面，文章提到应谨慎开发利用水电资源，并专注于风能开发。然而，并未提供相关数据或研究结果来支持这些主张。</w:t>
      </w:r>
    </w:p>
    <w:p>
      <w:pPr>
        <w:jc w:val="both"/>
      </w:pPr>
      <w:r>
        <w:rPr/>
        <w:t xml:space="preserve"/>
      </w:r>
    </w:p>
    <w:p>
      <w:pPr>
        <w:jc w:val="both"/>
      </w:pPr>
      <w:r>
        <w:rPr/>
        <w:t xml:space="preserve">此外，在讨论生态环境恢复方面，文章强调了生态补偿制度的重要性，但未对该制度的有效性进行深入探讨。是否有足够的证据表明生态补偿制度可以真正促进流域生态环境恢复仍然是一个值得思考的问题。</w:t>
      </w:r>
    </w:p>
    <w:p>
      <w:pPr>
        <w:jc w:val="both"/>
      </w:pPr>
      <w:r>
        <w:rPr/>
        <w:t xml:space="preserve"/>
      </w:r>
    </w:p>
    <w:p>
      <w:pPr>
        <w:jc w:val="both"/>
      </w:pPr>
      <w:r>
        <w:rPr/>
        <w:t xml:space="preserve">最后，在文章中没有提及可能存在的利益冲突和权力分配问题。在建立多中心行动网络和赋予流域内地方政府更多自治权的同时，是否考虑到了可能出现的利益冲突和权力不平衡问题呢？</w:t>
      </w:r>
    </w:p>
    <w:p>
      <w:pPr>
        <w:jc w:val="both"/>
      </w:pPr>
      <w:r>
        <w:rPr/>
        <w:t xml:space="preserve"/>
      </w:r>
    </w:p>
    <w:p>
      <w:pPr>
        <w:jc w:val="both"/>
      </w:pPr>
      <w:r>
        <w:rPr/>
        <w:t xml:space="preserve">综上所述，这篇文章在讨论流域生态环境保护规划下的“双碳”目标时存在一些潜在偏见和片面报道。它提出了一些主张，但缺乏充分的证据支持，并未全面考虑到可能存在的风险和挑战。此外，文章也没有平等地呈现双方观点，并忽略了利益冲突和权力分配等重要问题。</w:t>
      </w:r>
    </w:p>
    <w:p>
      <w:pPr>
        <w:pStyle w:val="Heading1"/>
      </w:pPr>
      <w:bookmarkStart w:id="5" w:name="_Toc5"/>
      <w:r>
        <w:t>Topics for further research:</w:t>
      </w:r>
      <w:bookmarkEnd w:id="5"/>
    </w:p>
    <w:p>
      <w:pPr>
        <w:spacing w:after="0"/>
        <w:numPr>
          <w:ilvl w:val="0"/>
          <w:numId w:val="2"/>
        </w:numPr>
      </w:pPr>
      <w:r>
        <w:rPr/>
        <w:t xml:space="preserve">双碳目标下的资源和技术支持问题
</w:t>
      </w:r>
    </w:p>
    <w:p>
      <w:pPr>
        <w:spacing w:after="0"/>
        <w:numPr>
          <w:ilvl w:val="0"/>
          <w:numId w:val="2"/>
        </w:numPr>
      </w:pPr>
      <w:r>
        <w:rPr/>
        <w:t xml:space="preserve">平等呈现双方观点的重要性
</w:t>
      </w:r>
    </w:p>
    <w:p>
      <w:pPr>
        <w:spacing w:after="0"/>
        <w:numPr>
          <w:ilvl w:val="0"/>
          <w:numId w:val="2"/>
        </w:numPr>
      </w:pPr>
      <w:r>
        <w:rPr/>
        <w:t xml:space="preserve">推动河流流域能源低碳化的证据支持
</w:t>
      </w:r>
    </w:p>
    <w:p>
      <w:pPr>
        <w:spacing w:after="0"/>
        <w:numPr>
          <w:ilvl w:val="0"/>
          <w:numId w:val="2"/>
        </w:numPr>
      </w:pPr>
      <w:r>
        <w:rPr/>
        <w:t xml:space="preserve">生态补偿制度的有效性问题
</w:t>
      </w:r>
    </w:p>
    <w:p>
      <w:pPr>
        <w:spacing w:after="0"/>
        <w:numPr>
          <w:ilvl w:val="0"/>
          <w:numId w:val="2"/>
        </w:numPr>
      </w:pPr>
      <w:r>
        <w:rPr/>
        <w:t xml:space="preserve">利益冲突和权力分配问题
</w:t>
      </w:r>
    </w:p>
    <w:p>
      <w:pPr>
        <w:numPr>
          <w:ilvl w:val="0"/>
          <w:numId w:val="2"/>
        </w:numPr>
      </w:pPr>
      <w:r>
        <w:rPr/>
        <w:t xml:space="preserve">文章未全面考虑的其他风险和挑战</w:t>
      </w:r>
    </w:p>
    <w:p>
      <w:pPr>
        <w:pStyle w:val="Heading1"/>
      </w:pPr>
      <w:bookmarkStart w:id="6" w:name="_Toc6"/>
      <w:r>
        <w:t>Report location:</w:t>
      </w:r>
      <w:bookmarkEnd w:id="6"/>
    </w:p>
    <w:p>
      <w:hyperlink r:id="rId8" w:history="1">
        <w:r>
          <w:rPr>
            <w:color w:val="2980b9"/>
            <w:u w:val="single"/>
          </w:rPr>
          <w:t xml:space="preserve">https://www.fullpicture.app/item/551c91d6b36f998712e744147ac3186d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0FE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ssd1992.org/issue_info.aspx?ID=999" TargetMode="External"/><Relationship Id="rId8" Type="http://schemas.openxmlformats.org/officeDocument/2006/relationships/hyperlink" Target="https://www.fullpicture.app/item/551c91d6b36f998712e744147ac3186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2024-01-01T17:30:23+01:00</dcterms:created>
  <dcterms:modified xsi:type="dcterms:W3CDTF">2024-01-01T17:30:23+01:00</dcterms:modified>
</cp:coreProperties>
</file>

<file path=docProps/custom.xml><?xml version="1.0" encoding="utf-8"?>
<Properties xmlns="http://schemas.openxmlformats.org/officeDocument/2006/custom-properties" xmlns:vt="http://schemas.openxmlformats.org/officeDocument/2006/docPropsVTypes"/>
</file>