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text of the instrument</w:t>
      </w:r>
      <w:br/>
      <w:hyperlink r:id="rId7" w:history="1">
        <w:r>
          <w:rPr>
            <w:color w:val="2980b9"/>
            <w:u w:val="single"/>
          </w:rPr>
          <w:t xml:space="preserve">https://wenshu.court.gov.cn/website/wenshu/181107ANFZ0BXSK4/index.html?docId=LjHnnZi8Y0+8tU5Wxjfdnlfqg6yHM7TjhVqyPeZXwmJwpwk/ZHpqD5O3qNaLMqsJx1EcIRmExkoNX9832i0LuMEz/qsR+iAbWllbczIKweoaZ8elWaRyJ93SMozhS8/o</w:t>
        </w:r>
      </w:hyperlink>
    </w:p>
    <w:p>
      <w:pPr>
        <w:pStyle w:val="Heading1"/>
      </w:pPr>
      <w:bookmarkStart w:id="2" w:name="_Toc2"/>
      <w:r>
        <w:t>Article summary:</w:t>
      </w:r>
      <w:bookmarkEnd w:id="2"/>
    </w:p>
    <w:p>
      <w:pPr>
        <w:jc w:val="both"/>
      </w:pPr>
      <w:r>
        <w:rPr/>
        <w:t xml:space="preserve">1. The article is a civil judgment of second instance between Dongguan Daxing Zipper Factory Co., Ltd. and YKK Co., Ltd. in dispute over infringement of invention patent rights.</w:t>
      </w:r>
    </w:p>
    <w:p>
      <w:pPr>
        <w:jc w:val="both"/>
      </w:pPr>
      <w:r>
        <w:rPr/>
        <w:t xml:space="preserve">2. The appellant, Dongguan Daxing Zipper Factory Co., Ltd., appealed to the court against the original judgment rendered by the Guangzhou Intellectual Property Court of the People's Republic of China on March 2020, 73 in a dispute over infringement of invention patent rights with the appellee YKK Co., Ltd.</w:t>
      </w:r>
    </w:p>
    <w:p>
      <w:pPr>
        <w:jc w:val="both"/>
      </w:pPr>
      <w:r>
        <w:rPr/>
        <w:t xml:space="preserve">3. The appellant requested that the original judgment be revoked and the judgment be revised to dismiss YKK Co., Ltd.'s lawsuit.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civil judgment of second instance between Dongguan Daxing Zipper Factory Co., Ltd. and YKK Co., Ltd. in dispute over infringement of invention patent rights, which was issued by Supreme People's Court of the People's Republic of China. The article provides detailed information about both parties involved in the case, as well as their appointed litigation agents and representatives, which gives it an air of trustworthiness and reliability. However, there are some potential biases that should be noted when considering this article as a source for research or other purposes. </w:t>
      </w:r>
    </w:p>
    <w:p>
      <w:pPr>
        <w:jc w:val="both"/>
      </w:pPr>
      <w:r>
        <w:rPr/>
        <w:t xml:space="preserve">First, it is important to note that this article is written from one side only – that of Dongguan Daxing Zipper Factory Co., Ltd.. While it does provide some information about YKK Co., Ltd.'s arguments against them, it does not present both sides equally or explore any counterarguments that may exist from either party’s perspective. This could lead to an incomplete understanding of the case if used as a source for research or other purposes without further exploration into both sides’ perspectives on the matter. </w:t>
      </w:r>
    </w:p>
    <w:p>
      <w:pPr>
        <w:jc w:val="both"/>
      </w:pPr>
      <w:r>
        <w:rPr/>
        <w:t xml:space="preserve">Second, there are some unsupported claims made throughout the article which could lead to confusion or misunderstanding if used as a source for research or other purposes without further exploration into their validity or accuracy. For example, there are claims made about evidence submitted by Dongguan Daxing Zipper Factory Co., Ltd., such as customs declarations and witness testimony, but no evidence is provided to back up these claims nor any explanation given as to why they should be considered reliable sources for information on this case. </w:t>
      </w:r>
    </w:p>
    <w:p>
      <w:pPr>
        <w:jc w:val="both"/>
      </w:pPr>
      <w:r>
        <w:rPr/>
        <w:t xml:space="preserve">Finally, while this article does provide some detail about both parties involved in this case and their respective arguments against each other, it does not provide any insight into possible risks associated with either party’s actions or decisions related to this case nor does it explore any potential implications that may arise from its outcome for either party involved in this dispute over infringement of invention patent rights. As such, readers should exercise caution when using this article as a source for research or other purposes without further exploration into these matters first before drawing any conclusions based on its contents alone.</w:t>
      </w:r>
    </w:p>
    <w:p>
      <w:pPr>
        <w:pStyle w:val="Heading1"/>
      </w:pPr>
      <w:bookmarkStart w:id="5" w:name="_Toc5"/>
      <w:r>
        <w:t>Topics for further research:</w:t>
      </w:r>
      <w:bookmarkEnd w:id="5"/>
    </w:p>
    <w:p>
      <w:pPr>
        <w:spacing w:after="0"/>
        <w:numPr>
          <w:ilvl w:val="0"/>
          <w:numId w:val="2"/>
        </w:numPr>
      </w:pPr>
      <w:r>
        <w:rPr/>
        <w:t xml:space="preserve">Patent infringement risks</w:t>
      </w:r>
    </w:p>
    <w:p>
      <w:pPr>
        <w:spacing w:after="0"/>
        <w:numPr>
          <w:ilvl w:val="0"/>
          <w:numId w:val="2"/>
        </w:numPr>
      </w:pPr>
      <w:r>
        <w:rPr/>
        <w:t xml:space="preserve">Patent infringement implications</w:t>
      </w:r>
    </w:p>
    <w:p>
      <w:pPr>
        <w:spacing w:after="0"/>
        <w:numPr>
          <w:ilvl w:val="0"/>
          <w:numId w:val="2"/>
        </w:numPr>
      </w:pPr>
      <w:r>
        <w:rPr/>
        <w:t xml:space="preserve">Evidence reliability in patent disputes</w:t>
      </w:r>
    </w:p>
    <w:p>
      <w:pPr>
        <w:spacing w:after="0"/>
        <w:numPr>
          <w:ilvl w:val="0"/>
          <w:numId w:val="2"/>
        </w:numPr>
      </w:pPr>
      <w:r>
        <w:rPr/>
        <w:t xml:space="preserve">Customs declarations in patent disputes</w:t>
      </w:r>
    </w:p>
    <w:p>
      <w:pPr>
        <w:spacing w:after="0"/>
        <w:numPr>
          <w:ilvl w:val="0"/>
          <w:numId w:val="2"/>
        </w:numPr>
      </w:pPr>
      <w:r>
        <w:rPr/>
        <w:t xml:space="preserve">Witness testimony in patent disputes</w:t>
      </w:r>
    </w:p>
    <w:p>
      <w:pPr>
        <w:numPr>
          <w:ilvl w:val="0"/>
          <w:numId w:val="2"/>
        </w:numPr>
      </w:pPr>
      <w:r>
        <w:rPr/>
        <w:t xml:space="preserve">Outcomes of patent infringement cases</w:t>
      </w:r>
    </w:p>
    <w:p>
      <w:pPr>
        <w:pStyle w:val="Heading1"/>
      </w:pPr>
      <w:bookmarkStart w:id="6" w:name="_Toc6"/>
      <w:r>
        <w:t>Report location:</w:t>
      </w:r>
      <w:bookmarkEnd w:id="6"/>
    </w:p>
    <w:p>
      <w:hyperlink r:id="rId8" w:history="1">
        <w:r>
          <w:rPr>
            <w:color w:val="2980b9"/>
            <w:u w:val="single"/>
          </w:rPr>
          <w:t xml:space="preserve">https://www.fullpicture.app/item/5560e4a570bdb04a06460bb3f94ea915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6C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shu.court.gov.cn/website/wenshu/181107ANFZ0BXSK4/index.html?docId=LjHnnZi8Y0+8tU5Wxjfdnlfqg6yHM7TjhVqyPeZXwmJwpwk/ZHpqD5O3qNaLMqsJx1EcIRmExkoNX9832i0LuMEz/qsR+iAbWllbczIKweoaZ8elWaRyJ93SMozhS8/o" TargetMode="External"/><Relationship Id="rId8" Type="http://schemas.openxmlformats.org/officeDocument/2006/relationships/hyperlink" Target="https://www.fullpicture.app/item/5560e4a570bdb04a06460bb3f94ea9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2023-02-23T09:40:23+01:00</dcterms:created>
  <dcterms:modified xsi:type="dcterms:W3CDTF">2023-02-23T09:40:23+01:00</dcterms:modified>
</cp:coreProperties>
</file>

<file path=docProps/custom.xml><?xml version="1.0" encoding="utf-8"?>
<Properties xmlns="http://schemas.openxmlformats.org/officeDocument/2006/custom-properties" xmlns:vt="http://schemas.openxmlformats.org/officeDocument/2006/docPropsVTypes"/>
</file>