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Myasthenia gravis-specific aberrant neuromuscular gene expression by medullary thymic epithelial cells in thymoma | Nature Communications</w:t>
      </w:r>
      <w:br/>
      <w:hyperlink r:id="rId7" w:history="1">
        <w:r>
          <w:rPr>
            <w:color w:val="2980b9"/>
            <w:u w:val="single"/>
          </w:rPr>
          <w:t xml:space="preserve">https://www.nature.com/articles/s41467-022-31951-8</w:t>
        </w:r>
      </w:hyperlink>
    </w:p>
    <w:p>
      <w:pPr>
        <w:pStyle w:val="Heading1"/>
      </w:pPr>
      <w:bookmarkStart w:id="2" w:name="_Toc2"/>
      <w:r>
        <w:t>Article summary:</w:t>
      </w:r>
      <w:bookmarkEnd w:id="2"/>
    </w:p>
    <w:p>
      <w:pPr>
        <w:jc w:val="both"/>
      </w:pPr>
      <w:r>
        <w:rPr/>
        <w:t xml:space="preserve">1. Myasthenia gravis (MG) is an autoimmune disorder caused by autoantibodies against the motor endplate, such as anti-acetylcholine receptor (AChR) antibodies.</w:t>
      </w:r>
    </w:p>
    <w:p>
      <w:pPr>
        <w:jc w:val="both"/>
      </w:pPr>
      <w:r>
        <w:rPr/>
        <w:t xml:space="preserve">2.Thymoma is often associated with MG and thymectomy is a well-established treatment for TAMG in addition to immunosuppressive treatments.</w:t>
      </w:r>
    </w:p>
    <w:p>
      <w:pPr>
        <w:jc w:val="both"/>
      </w:pPr>
      <w:r>
        <w:rPr/>
        <w:t xml:space="preserve">3.This article investigates gene expression profiles from surgically dissected thymoma samples to identify MG-specific changes within thymoma and suggests that a distinct subpopulation of mTECs ectopically express neuromuscular-associated molecules which could contribute to the pathogenesis of MG.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“Myasthenia gravis-specific aberrant neuromuscular gene expression by medullary thymic epithelial cells in thymoma | Nature Communications” provides an interesting insight into the potential role of mTECs in the pathogenesis of MG. The authors have done a thorough job in providing evidence for their claims, including data from The Cancer Genome Atlas (TCGA), WHO classifications, and two-sided Mann–Whitney U-test. However, there are some points that should be noted when assessing the trustworthiness and reliability of this article. </w:t>
      </w:r>
    </w:p>
    <w:p>
      <w:pPr>
        <w:jc w:val="both"/>
      </w:pPr>
      <w:r>
        <w:rPr/>
        <w:t xml:space="preserve">First, the authors do not provide any information on potential biases or sources of bias in their study, which could lead to inaccurate results or conclusions. Additionally, they do not explore any counterarguments or present both sides equally when discussing their findings. Furthermore, while they provide evidence for their claims, they do not discuss any possible risks associated with their findings or provide any evidence for potential risks that may arise from their research. Finally, it appears that some of the claims made in this article are unsupported and lack sufficient evidence to back them up; thus, further research is needed to validate these claims before drawing any definitive conclusions about the role of mTECs in MG pathogenesis.</w:t>
      </w:r>
    </w:p>
    <w:p>
      <w:pPr>
        <w:pStyle w:val="Heading1"/>
      </w:pPr>
      <w:bookmarkStart w:id="5" w:name="_Toc5"/>
      <w:r>
        <w:t>Topics for further research:</w:t>
      </w:r>
      <w:bookmarkEnd w:id="5"/>
    </w:p>
    <w:p>
      <w:pPr>
        <w:spacing w:after="0"/>
        <w:numPr>
          <w:ilvl w:val="0"/>
          <w:numId w:val="2"/>
        </w:numPr>
      </w:pPr>
      <w:r>
        <w:rPr/>
        <w:t xml:space="preserve">Bias in medical research </w:t>
      </w:r>
    </w:p>
    <w:p>
      <w:pPr>
        <w:spacing w:after="0"/>
        <w:numPr>
          <w:ilvl w:val="0"/>
          <w:numId w:val="2"/>
        </w:numPr>
      </w:pPr>
      <w:r>
        <w:rPr/>
        <w:t xml:space="preserve">Risk assessment in medical research </w:t>
      </w:r>
    </w:p>
    <w:p>
      <w:pPr>
        <w:spacing w:after="0"/>
        <w:numPr>
          <w:ilvl w:val="0"/>
          <w:numId w:val="2"/>
        </w:numPr>
      </w:pPr>
      <w:r>
        <w:rPr/>
        <w:t xml:space="preserve">Counterarguments in medical research </w:t>
      </w:r>
    </w:p>
    <w:p>
      <w:pPr>
        <w:spacing w:after="0"/>
        <w:numPr>
          <w:ilvl w:val="0"/>
          <w:numId w:val="2"/>
        </w:numPr>
      </w:pPr>
      <w:r>
        <w:rPr/>
        <w:t xml:space="preserve">Mann–Whitney U-test </w:t>
      </w:r>
    </w:p>
    <w:p>
      <w:pPr>
        <w:spacing w:after="0"/>
        <w:numPr>
          <w:ilvl w:val="0"/>
          <w:numId w:val="2"/>
        </w:numPr>
      </w:pPr>
      <w:r>
        <w:rPr/>
        <w:t xml:space="preserve">The Cancer Genome Atlas (TCGA) </w:t>
      </w:r>
    </w:p>
    <w:p>
      <w:pPr>
        <w:numPr>
          <w:ilvl w:val="0"/>
          <w:numId w:val="2"/>
        </w:numPr>
      </w:pPr>
      <w:r>
        <w:rPr/>
        <w:t xml:space="preserve">WHO classifications of thymoma</w:t>
      </w:r>
    </w:p>
    <w:p>
      <w:pPr>
        <w:pStyle w:val="Heading1"/>
      </w:pPr>
      <w:bookmarkStart w:id="6" w:name="_Toc6"/>
      <w:r>
        <w:t>Report location:</w:t>
      </w:r>
      <w:bookmarkEnd w:id="6"/>
    </w:p>
    <w:p>
      <w:hyperlink r:id="rId8" w:history="1">
        <w:r>
          <w:rPr>
            <w:color w:val="2980b9"/>
            <w:u w:val="single"/>
          </w:rPr>
          <w:t xml:space="preserve">https://www.fullpicture.app/item/556d5d4bd85ce4cdd45ad46f866f8dea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5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951-8" TargetMode="External"/><Relationship Id="rId8" Type="http://schemas.openxmlformats.org/officeDocument/2006/relationships/hyperlink" Target="https://www.fullpicture.app/item/556d5d4bd85ce4cdd45ad46f866f8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2023-02-28T19:02:40+01:00</dcterms:created>
  <dcterms:modified xsi:type="dcterms:W3CDTF">2023-02-28T19:02:40+01:00</dcterms:modified>
</cp:coreProperties>
</file>

<file path=docProps/custom.xml><?xml version="1.0" encoding="utf-8"?>
<Properties xmlns="http://schemas.openxmlformats.org/officeDocument/2006/custom-properties" xmlns:vt="http://schemas.openxmlformats.org/officeDocument/2006/docPropsVTypes"/>
</file>