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implications of the carbon tax on the vehicle remanufacturing industry in the complex competitive environment - Wang - Managerial and Decision Economics - Wiley Online Library</w:t>
      </w:r>
      <w:br/>
      <w:hyperlink r:id="rId7" w:history="1">
        <w:r>
          <w:rPr>
            <w:color w:val="2980b9"/>
            <w:u w:val="single"/>
          </w:rPr>
          <w:t xml:space="preserve">https://onlinelibrary.wiley.com/doi/full/10.1002/mde.3843</w:t>
        </w:r>
      </w:hyperlink>
    </w:p>
    <w:p>
      <w:pPr>
        <w:pStyle w:val="Heading1"/>
      </w:pPr>
      <w:bookmarkStart w:id="2" w:name="_Toc2"/>
      <w:r>
        <w:t>Article summary:</w:t>
      </w:r>
      <w:bookmarkEnd w:id="2"/>
    </w:p>
    <w:p>
      <w:pPr>
        <w:jc w:val="both"/>
      </w:pPr>
      <w:r>
        <w:rPr/>
        <w:t xml:space="preserve">1. The article examines the implications of the carbon tax on the vehicle remanufacturing industry in a complex competitive environment.</w:t>
      </w:r>
    </w:p>
    <w:p>
      <w:pPr>
        <w:jc w:val="both"/>
      </w:pPr>
      <w:r>
        <w:rPr/>
        <w:t xml:space="preserve">2. It explores how the carbon tax affects the vehicle remanufacturing supply chain from economic, environmental, and consumer surplus perspectives.</w:t>
      </w:r>
    </w:p>
    <w:p>
      <w:pPr>
        <w:jc w:val="both"/>
      </w:pPr>
      <w:r>
        <w:rPr/>
        <w:t xml:space="preserve">3. The results show that while the carbon tax is disadvantageous to automobile manufacturers' profits, it may benefit automobile remanufacturers' profits.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analysis of the implications of the carbon tax on the vehicle remanufacturing industry in a complex competitive environment. The authors explore how this policy affects the vehicle remanufacturing supply chain from economic, environmental, and consumer surplus perspectives. The results suggest that while the carbon tax is disadvantageous to automobile manufacturers' profits, it may benefit automobile remanufacturers' profits. </w:t>
      </w:r>
    </w:p>
    <w:p>
      <w:pPr>
        <w:jc w:val="both"/>
      </w:pPr>
      <w:r>
        <w:rPr/>
        <w:t xml:space="preserve">The article is generally reliable and trustworthy as it provides a comprehensive overview of its topic and presents evidence to support its claims. However, there are some potential biases that should be noted. For example, there is no discussion of possible risks associated with implementing a carbon tax or any counterarguments to its implementation. Additionally, there is no exploration of other policies or strategies that could be used instead of or in addition to a carbon tax for reducing emissions from vehicles in this industry. Furthermore, there is no mention of any potential unintended consequences that could arise from implementing such a policy or how it might affect different stakeholders differently. Finally, there is no discussion of how this policy might interact with other existing policies related to emissions reduction or climate change mitigation more broadly. </w:t>
      </w:r>
    </w:p>
    <w:p>
      <w:pPr>
        <w:jc w:val="both"/>
      </w:pPr>
      <w:r>
        <w:rPr/>
        <w:t xml:space="preserve">In conclusion, while this article provides an informative overview of its topic and presents evidence to support its claims, it does not provide an exhaustive examination of all aspects related to its topic and could benefit from further exploration into potential risks associated with implementing such a policy as well as alternative strategies for reducing emissions from vehicles in this industry.</w:t>
      </w:r>
    </w:p>
    <w:p>
      <w:pPr>
        <w:pStyle w:val="Heading1"/>
      </w:pPr>
      <w:bookmarkStart w:id="5" w:name="_Toc5"/>
      <w:r>
        <w:t>Topics for further research:</w:t>
      </w:r>
      <w:bookmarkEnd w:id="5"/>
    </w:p>
    <w:p>
      <w:pPr>
        <w:spacing w:after="0"/>
        <w:numPr>
          <w:ilvl w:val="0"/>
          <w:numId w:val="2"/>
        </w:numPr>
      </w:pPr>
      <w:r>
        <w:rPr/>
        <w:t xml:space="preserve">Carbon tax risks</w:t>
      </w:r>
    </w:p>
    <w:p>
      <w:pPr>
        <w:spacing w:after="0"/>
        <w:numPr>
          <w:ilvl w:val="0"/>
          <w:numId w:val="2"/>
        </w:numPr>
      </w:pPr>
      <w:r>
        <w:rPr/>
        <w:t xml:space="preserve">Alternative strategies for emissions reduction</w:t>
      </w:r>
    </w:p>
    <w:p>
      <w:pPr>
        <w:spacing w:after="0"/>
        <w:numPr>
          <w:ilvl w:val="0"/>
          <w:numId w:val="2"/>
        </w:numPr>
      </w:pPr>
      <w:r>
        <w:rPr/>
        <w:t xml:space="preserve">Unintended consequences of carbon tax</w:t>
      </w:r>
    </w:p>
    <w:p>
      <w:pPr>
        <w:spacing w:after="0"/>
        <w:numPr>
          <w:ilvl w:val="0"/>
          <w:numId w:val="2"/>
        </w:numPr>
      </w:pPr>
      <w:r>
        <w:rPr/>
        <w:t xml:space="preserve">Differential impacts of carbon tax</w:t>
      </w:r>
    </w:p>
    <w:p>
      <w:pPr>
        <w:spacing w:after="0"/>
        <w:numPr>
          <w:ilvl w:val="0"/>
          <w:numId w:val="2"/>
        </w:numPr>
      </w:pPr>
      <w:r>
        <w:rPr/>
        <w:t xml:space="preserve">Interaction between carbon tax and other policies</w:t>
      </w:r>
    </w:p>
    <w:p>
      <w:pPr>
        <w:numPr>
          <w:ilvl w:val="0"/>
          <w:numId w:val="2"/>
        </w:numPr>
      </w:pPr>
      <w:r>
        <w:rPr/>
        <w:t xml:space="preserve">Climate change mitigation strategies</w:t>
      </w:r>
    </w:p>
    <w:p>
      <w:pPr>
        <w:pStyle w:val="Heading1"/>
      </w:pPr>
      <w:bookmarkStart w:id="6" w:name="_Toc6"/>
      <w:r>
        <w:t>Report location:</w:t>
      </w:r>
      <w:bookmarkEnd w:id="6"/>
    </w:p>
    <w:p>
      <w:hyperlink r:id="rId8" w:history="1">
        <w:r>
          <w:rPr>
            <w:color w:val="2980b9"/>
            <w:u w:val="single"/>
          </w:rPr>
          <w:t xml:space="preserve">https://www.fullpicture.app/item/56435746a1b308ba1b247044d6f6a05d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A4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mde.3843" TargetMode="External"/><Relationship Id="rId8" Type="http://schemas.openxmlformats.org/officeDocument/2006/relationships/hyperlink" Target="https://www.fullpicture.app/item/56435746a1b308ba1b247044d6f6a0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2023-02-23T02:32:52+01:00</dcterms:created>
  <dcterms:modified xsi:type="dcterms:W3CDTF">2023-02-23T02:32:52+01:00</dcterms:modified>
</cp:coreProperties>
</file>

<file path=docProps/custom.xml><?xml version="1.0" encoding="utf-8"?>
<Properties xmlns="http://schemas.openxmlformats.org/officeDocument/2006/custom-properties" xmlns:vt="http://schemas.openxmlformats.org/officeDocument/2006/docPropsVTypes"/>
</file>