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changing nature of life cycle assessment - ScienceDirect</w:t>
      </w:r>
      <w:br/>
      <w:hyperlink r:id="rId7" w:history="1">
        <w:r>
          <w:rPr>
            <w:color w:val="2980b9"/>
            <w:u w:val="single"/>
          </w:rPr>
          <w:t xml:space="preserve">https://www.sciencedirect.com/science/article/pii/S0961953415001609</w:t>
        </w:r>
      </w:hyperlink>
    </w:p>
    <w:p>
      <w:pPr>
        <w:pStyle w:val="Heading1"/>
      </w:pPr>
      <w:bookmarkStart w:id="2" w:name="_Toc2"/>
      <w:r>
        <w:t>Article summary:</w:t>
      </w:r>
      <w:bookmarkEnd w:id="2"/>
    </w:p>
    <w:p>
      <w:pPr>
        <w:jc w:val="both"/>
      </w:pPr>
      <w:r>
        <w:rPr/>
        <w:t xml:space="preserve">1. LCA（生命周期评价）的发展历程：LCA起源于20世纪60年代和70年代的能源分析，逐渐演变成一个广泛应用的工具，用于确定产品或系统在多个环境和资源问题上的影响。它在研究、工业和政策中越来越普遍。</w:t>
      </w:r>
    </w:p>
    <w:p>
      <w:pPr>
        <w:jc w:val="both"/>
      </w:pPr>
      <w:r>
        <w:rPr/>
        <w:t xml:space="preserve"/>
      </w:r>
    </w:p>
    <w:p>
      <w:pPr>
        <w:jc w:val="both"/>
      </w:pPr>
      <w:r>
        <w:rPr/>
        <w:t xml:space="preserve">2. 生物能源LCA对LCA的影响：生物能源LCA驱动了许多LCA中的变化，尤其是在挑战方面。生物能源政策已经使LCA成为主流，带来了生命周期方法的所有好处，但也带来了实践中应用时的困难。</w:t>
      </w:r>
    </w:p>
    <w:p>
      <w:pPr>
        <w:jc w:val="both"/>
      </w:pPr>
      <w:r>
        <w:rPr/>
        <w:t xml:space="preserve"/>
      </w:r>
    </w:p>
    <w:p>
      <w:pPr>
        <w:jc w:val="both"/>
      </w:pPr>
      <w:r>
        <w:rPr/>
        <w:t xml:space="preserve">3. 公众舆论对LCA发展的影响：公众对气候和生物燃料潜在影响的讨论直接或间接地推动了生命周期分析的演变，并促进了后果性LCA的发展。食品与燃料之争等议题导致了公众对生物燃料持负面态度，这对投资和技术发展产生了负面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生命周期评估（LCA）的演变和在生物能源部署中的应用进行了探讨，但存在一些潜在的偏见和片面报道。首先，文章提到公众对生物燃料的争议性看法，但没有深入探讨这些看法的来源和背景。它只简单地指出舆论对生物燃料的态度是高度两极化的，而没有详细说明为什么会出现这种情况。</w:t>
      </w:r>
    </w:p>
    <w:p>
      <w:pPr>
        <w:jc w:val="both"/>
      </w:pPr>
      <w:r>
        <w:rPr/>
        <w:t xml:space="preserve"/>
      </w:r>
    </w:p>
    <w:p>
      <w:pPr>
        <w:jc w:val="both"/>
      </w:pPr>
      <w:r>
        <w:rPr/>
        <w:t xml:space="preserve">其次，文章强调了“食品与燃料”的问题以及可能导致国际市场转向额外农业用地的可能性，但未提及这种转变可能带来的负面影响或风险。它只是简单地描述了“食品与燃料”概念如何在公众舆论中占据主导地位，而没有深入探讨这种观点是否合理或基于事实。</w:t>
      </w:r>
    </w:p>
    <w:p>
      <w:pPr>
        <w:jc w:val="both"/>
      </w:pPr>
      <w:r>
        <w:rPr/>
        <w:t xml:space="preserve"/>
      </w:r>
    </w:p>
    <w:p>
      <w:pPr>
        <w:jc w:val="both"/>
      </w:pPr>
      <w:r>
        <w:rPr/>
        <w:t xml:space="preserve">此外，文章还提到了LCA从归因性发展到后果性以及从回顾性发展到前瞻性的转变，但未提供足够的证据或例子来支持这些观点。它只是简单地陈述了这种转变正在发生，并没有详细说明为什么这种转变是必要或有益的。</w:t>
      </w:r>
    </w:p>
    <w:p>
      <w:pPr>
        <w:jc w:val="both"/>
      </w:pPr>
      <w:r>
        <w:rPr/>
        <w:t xml:space="preserve"/>
      </w:r>
    </w:p>
    <w:p>
      <w:pPr>
        <w:jc w:val="both"/>
      </w:pPr>
      <w:r>
        <w:rPr/>
        <w:t xml:space="preserve">最后，在讨论LCA在生物能源领域中的应用时，文章似乎更倾向于支持LCA作为指导政策决策和技术选择的工具。它强调了LCA带来的好处，但并未平衡地探讨LCA可能存在的局限性或缺陷。因此，在呈现双方观点时缺乏平衡。</w:t>
      </w:r>
    </w:p>
    <w:p>
      <w:pPr>
        <w:jc w:val="both"/>
      </w:pPr>
      <w:r>
        <w:rPr/>
        <w:t xml:space="preserve"/>
      </w:r>
    </w:p>
    <w:p>
      <w:pPr>
        <w:jc w:val="both"/>
      </w:pPr>
      <w:r>
        <w:rPr/>
        <w:t xml:space="preserve">总体而言，这篇文章在探讨LCA演变和在生物能源领域中应用时存在一些偏见、片面报道和缺失考虑点。作者可以通过更全面、客观地呈现双方观点，并提供更多具体例证来加强其论点并避免偏见和不平衡报道。</w:t>
      </w:r>
    </w:p>
    <w:p>
      <w:pPr>
        <w:pStyle w:val="Heading1"/>
      </w:pPr>
      <w:bookmarkStart w:id="5" w:name="_Toc5"/>
      <w:r>
        <w:t>Topics for further research:</w:t>
      </w:r>
      <w:bookmarkEnd w:id="5"/>
    </w:p>
    <w:p>
      <w:pPr>
        <w:spacing w:after="0"/>
        <w:numPr>
          <w:ilvl w:val="0"/>
          <w:numId w:val="2"/>
        </w:numPr>
      </w:pPr>
      <w:r>
        <w:rPr/>
        <w:t xml:space="preserve">生物燃料争议的背景和来源
</w:t>
      </w:r>
    </w:p>
    <w:p>
      <w:pPr>
        <w:spacing w:after="0"/>
        <w:numPr>
          <w:ilvl w:val="0"/>
          <w:numId w:val="2"/>
        </w:numPr>
      </w:pPr>
      <w:r>
        <w:rPr/>
        <w:t xml:space="preserve">食品与燃料转变可能带来的负面影响
</w:t>
      </w:r>
    </w:p>
    <w:p>
      <w:pPr>
        <w:spacing w:after="0"/>
        <w:numPr>
          <w:ilvl w:val="0"/>
          <w:numId w:val="2"/>
        </w:numPr>
      </w:pPr>
      <w:r>
        <w:rPr/>
        <w:t xml:space="preserve">LCA从归因性到后果性的转变的具体例证
</w:t>
      </w:r>
    </w:p>
    <w:p>
      <w:pPr>
        <w:spacing w:after="0"/>
        <w:numPr>
          <w:ilvl w:val="0"/>
          <w:numId w:val="2"/>
        </w:numPr>
      </w:pPr>
      <w:r>
        <w:rPr/>
        <w:t xml:space="preserve">LCA在生物能源领域中的局限性和缺陷
</w:t>
      </w:r>
    </w:p>
    <w:p>
      <w:pPr>
        <w:spacing w:after="0"/>
        <w:numPr>
          <w:ilvl w:val="0"/>
          <w:numId w:val="2"/>
        </w:numPr>
      </w:pPr>
      <w:r>
        <w:rPr/>
        <w:t xml:space="preserve">LCA在政策决策和技术选择中的平衡应用
</w:t>
      </w:r>
    </w:p>
    <w:p>
      <w:pPr>
        <w:numPr>
          <w:ilvl w:val="0"/>
          <w:numId w:val="2"/>
        </w:numPr>
      </w:pPr>
      <w:r>
        <w:rPr/>
        <w:t xml:space="preserve">双方观点的平衡呈现和具体例证的重要性</w:t>
      </w:r>
    </w:p>
    <w:p>
      <w:pPr>
        <w:pStyle w:val="Heading1"/>
      </w:pPr>
      <w:bookmarkStart w:id="6" w:name="_Toc6"/>
      <w:r>
        <w:t>Report location:</w:t>
      </w:r>
      <w:bookmarkEnd w:id="6"/>
    </w:p>
    <w:p>
      <w:hyperlink r:id="rId8" w:history="1">
        <w:r>
          <w:rPr>
            <w:color w:val="2980b9"/>
            <w:u w:val="single"/>
          </w:rPr>
          <w:t xml:space="preserve">https://www.fullpicture.app/item/579b40ec8267dabbc5348d89fb468399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5C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1953415001609" TargetMode="External"/><Relationship Id="rId8" Type="http://schemas.openxmlformats.org/officeDocument/2006/relationships/hyperlink" Target="https://www.fullpicture.app/item/579b40ec8267dabbc5348d89fb4683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2024-03-10T07:56:10+01:00</dcterms:created>
  <dcterms:modified xsi:type="dcterms:W3CDTF">2024-03-10T07:56:10+01:00</dcterms:modified>
</cp:coreProperties>
</file>

<file path=docProps/custom.xml><?xml version="1.0" encoding="utf-8"?>
<Properties xmlns="http://schemas.openxmlformats.org/officeDocument/2006/custom-properties" xmlns:vt="http://schemas.openxmlformats.org/officeDocument/2006/docPropsVTypes"/>
</file>