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Mild Cognitive Impairment in Clinical Practice: A Review Article - Sukanya Jongsiriyanyong, Panita Limpawattana, 2018</w:t></w:r><w:br/><w:hyperlink r:id="rId7" w:history="1"><w:r><w:rPr><w:color w:val="2980b9"/><w:u w:val="single"/></w:rPr><w:t xml:space="preserve">https://journals.sagepub.com/doi/10.1177/1533317518791401?url_ver=Z39.88-2003&rfr_id=ori%3Arid%3Acrossref.org&rfr_dat=cr_pub++0pubmed&</w:t></w:r></w:hyperlink></w:p><w:p><w:pPr><w:pStyle w:val="Heading1"/></w:pPr><w:bookmarkStart w:id="2" w:name="_Toc2"/><w:r><w:t>Article summary:</w:t></w:r><w:bookmarkEnd w:id="2"/></w:p><w:p><w:pPr><w:jc w:val="both"/></w:pPr><w:r><w:rPr/><w:t xml:space="preserve">1. This article reviews the up-to-date evidence of mild cognitive impairment (MCI) including its diagnostic criteria, management and preventive interventions.</w:t></w:r></w:p><w:p><w:pPr><w:jc w:val="both"/></w:pPr><w:r><w:rPr/><w:t xml:space="preserve">2. The prevalence of MCI in adults older than 60 is approximately 6.7% to 25.2%, and it increases with age and lower level of education.</w:t></w:r></w:p><w:p><w:pPr><w:jc w:val="both"/></w:pPr><w:r><w:rPr/><w:t xml:space="preserve">3. The Montreal Cognitive Assessment (MoCA) is the recommended cognitive screening tool for MCI, but clinical judgment including premorbid functioning such as intellectual function and occupational status remains essential in diagnosing MCI.</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“Mild Cognitive Impairment in Clinical Practice: A Review Article” by Sukanya Jongsiriyanyong and Panita Limpawattana is a comprehensive review of mild cognitive impairment (MCI). The authors provide an overview of the prevalence, diagnosis, pathogenesis, outcomes, subtypes, and management of MCI due to Alzheimer’s disease, vascular cognitive impairment (VCI), and Parkinson disease by classifying them into pharmacological and nonpharmacological management and prevention of MCI.</w:t></w:r></w:p><w:p><w:pPr><w:jc w:val="both"/></w:pPr><w:r><w:rPr/><w:t xml:space="preserve">The article is generally reliable in terms of its content; however, there are some potential biases that should be noted. For example, the authors do not discuss any potential risks associated with the use of cholinesterase inhibitors for treating MCI or any other medications used to treat this condition. Additionally, they do not present both sides equally when discussing the use of biomarkers for diagnosing MCI due to Alzheimer’s disease; instead they focus on the positive aspects without exploring any counterarguments or possible risks associated with their use. Furthermore, there is no mention of any promotional content or partiality in the article which could be seen as a potential bias as well.</w:t></w:r></w:p><w:p><w:pPr><w:jc w:val="both"/></w:pPr><w:r><w:rPr/><w:t xml:space="preserve">In conclusion, this article provides a comprehensive overview of mild cognitive impairment; however, there are some potential biases that should be noted when evaluating its trustworthiness and reliability such as lack of discussion on potential risks associated with treatments for MCI or lack of exploration into counterarguments regarding biomarkers for diagnosing MCI due to Alzheimer’s disease.</w:t></w:r></w:p><w:p><w:pPr><w:pStyle w:val="Heading1"/></w:pPr><w:bookmarkStart w:id="5" w:name="_Toc5"/><w:r><w:t>Topics for further research:</w:t></w:r><w:bookmarkEnd w:id="5"/></w:p><w:p><w:pPr><w:spacing w:after="0"/><w:numPr><w:ilvl w:val="0"/><w:numId w:val="2"/></w:numPr></w:pPr><w:r><w:rPr/><w:t xml:space="preserve">Risks associated with cholinesterase inhibitors for MCI</w:t></w:r></w:p><w:p><w:pPr><w:spacing w:after="0"/><w:numPr><w:ilvl w:val="0"/><w:numId w:val="2"/></w:numPr></w:pPr><w:r><w:rPr/><w:t xml:space="preserve">Adverse effects of medications used to treat MCI</w:t></w:r></w:p><w:p><w:pPr><w:spacing w:after="0"/><w:numPr><w:ilvl w:val="0"/><w:numId w:val="2"/></w:numPr></w:pPr><w:r><w:rPr/><w:t xml:space="preserve">Arguments against the use of biomarkers for diagnosing MCI due to Alzheimer’s disease</w:t></w:r></w:p><w:p><w:pPr><w:spacing w:after="0"/><w:numPr><w:ilvl w:val="0"/><w:numId w:val="2"/></w:numPr></w:pPr><w:r><w:rPr/><w:t xml:space="preserve">Potential conflicts of interest in MCI research</w:t></w:r></w:p><w:p><w:pPr><w:spacing w:after="0"/><w:numPr><w:ilvl w:val="0"/><w:numId w:val="2"/></w:numPr></w:pPr><w:r><w:rPr/><w:t xml:space="preserve">Non-pharmacological management of MCI</w:t></w:r></w:p><w:p><w:pPr><w:numPr><w:ilvl w:val="0"/><w:numId w:val="2"/></w:numPr></w:pPr><w:r><w:rPr/><w:t xml:space="preserve">Prevention of MCI in clinical practice</w:t></w:r></w:p><w:p><w:pPr><w:pStyle w:val="Heading1"/></w:pPr><w:bookmarkStart w:id="6" w:name="_Toc6"/><w:r><w:t>Report location:</w:t></w:r><w:bookmarkEnd w:id="6"/></w:p><w:p><w:hyperlink r:id="rId8" w:history="1"><w:r><w:rPr><w:color w:val="2980b9"/><w:u w:val="single"/></w:rPr><w:t xml:space="preserve">https://www.fullpicture.app/item/59fe0f85752439514c99ec8f1b4ef55a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DAC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533317518791401?url_ver=Z39.88-2003&amp;rfr_id=ori%3Arid%3Acrossref.org&amp;rfr_dat=cr_pub++0pubmed&amp;" TargetMode="External"/><Relationship Id="rId8" Type="http://schemas.openxmlformats.org/officeDocument/2006/relationships/hyperlink" Target="https://www.fullpicture.app/item/59fe0f85752439514c99ec8f1b4ef5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2023-02-25T22:31:11+01:00</dcterms:created>
  <dcterms:modified xsi:type="dcterms:W3CDTF">2023-02-25T22:31:11+01:00</dcterms:modified>
</cp:coreProperties>
</file>

<file path=docProps/custom.xml><?xml version="1.0" encoding="utf-8"?>
<Properties xmlns="http://schemas.openxmlformats.org/officeDocument/2006/custom-properties" xmlns:vt="http://schemas.openxmlformats.org/officeDocument/2006/docPropsVTypes"/>
</file>