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Competition Law and Policy in the US, EU, UK, China, and Canada | Bipartisan Policy Center</w:t>
      </w:r>
      <w:br/>
      <w:hyperlink r:id="rId7" w:history="1">
        <w:r>
          <w:rPr>
            <w:color w:val="2980b9"/>
            <w:u w:val="single"/>
          </w:rPr>
          <w:t xml:space="preserve">https://bipartisanpolicy.org/blog/comparison-of-competition-law-and-policy-in-the-us-eu-uk-china-and-canada/</w:t>
        </w:r>
      </w:hyperlink>
    </w:p>
    <w:p>
      <w:pPr>
        <w:pStyle w:val="Heading1"/>
      </w:pPr>
      <w:bookmarkStart w:id="2" w:name="_Toc2"/>
      <w:r>
        <w:t>Article summary:</w:t>
      </w:r>
      <w:bookmarkEnd w:id="2"/>
    </w:p>
    <w:p>
      <w:pPr>
        <w:jc w:val="both"/>
      </w:pPr>
      <w:r>
        <w:rPr/>
        <w:t xml:space="preserve">1. This article provides an overview of the competition law landscape in five major, influential jurisdictions over the last few years and how ongoing developments therein could impact the future of competition law.</w:t>
      </w:r>
    </w:p>
    <w:p>
      <w:pPr>
        <w:jc w:val="both"/>
      </w:pPr>
      <w:r>
        <w:rPr/>
        <w:t xml:space="preserve">2. Competition laws generally seek to prevent anti-competitive agreements, abuse of dominant position, and anti-competitive mergers, but differ in terms of enforcement tools available to regulators and procedures surrounding the review of mergers and acquisitions.</w:t>
      </w:r>
    </w:p>
    <w:p>
      <w:pPr>
        <w:jc w:val="both"/>
      </w:pPr>
      <w:r>
        <w:rPr/>
        <w:t xml:space="preserve">3. Recent developments have seen a renewed emphasis on policing the increased market power of large tech companies, with new rules being issued to fill in the gaps of conventional competition legislation.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competition law and policy in five major jurisdictions: the US, EU, UK, China, and Canada. The article is well-researched and provides a comprehensive overview of each jurisdiction’s legal framework as well as their primary policy objectives. It also highlights key similarities and differences between them in terms of intensity of enforcement action and ongoing/future developments.</w:t>
      </w:r>
    </w:p>
    <w:p>
      <w:pPr>
        <w:jc w:val="both"/>
      </w:pPr>
      <w:r>
        <w:rPr/>
        <w:t xml:space="preserve">The article is generally reliable; however, there are some potential biases that should be noted. For example, while it does provide an overview of each jurisdiction’s legal framework and primary policy objectives, it does not explore counterarguments or present both sides equally when discussing recent developments such as increased scrutiny towards tech firms or proposed reforms to antitrust rules. Additionally, while it does mention possible risks associated with certain policies (e.g., state aid rules), it does not provide any evidence for these claims or explore other potential risks that may arise from such policies.</w:t>
      </w:r>
    </w:p>
    <w:p>
      <w:pPr>
        <w:jc w:val="both"/>
      </w:pPr>
      <w:r>
        <w:rPr/>
        <w:t xml:space="preserve">In conclusion, this article provides a comprehensive overview of competition law and policy in five major jurisdictions;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Competition law enforcement intensity</w:t>
      </w:r>
    </w:p>
    <w:p>
      <w:pPr>
        <w:spacing w:after="0"/>
        <w:numPr>
          <w:ilvl w:val="0"/>
          <w:numId w:val="2"/>
        </w:numPr>
      </w:pPr>
      <w:r>
        <w:rPr/>
        <w:t xml:space="preserve">Antitrust implications of tech firms</w:t>
      </w:r>
    </w:p>
    <w:p>
      <w:pPr>
        <w:spacing w:after="0"/>
        <w:numPr>
          <w:ilvl w:val="0"/>
          <w:numId w:val="2"/>
        </w:numPr>
      </w:pPr>
      <w:r>
        <w:rPr/>
        <w:t xml:space="preserve">State aid rules risks</w:t>
      </w:r>
    </w:p>
    <w:p>
      <w:pPr>
        <w:spacing w:after="0"/>
        <w:numPr>
          <w:ilvl w:val="0"/>
          <w:numId w:val="2"/>
        </w:numPr>
      </w:pPr>
      <w:r>
        <w:rPr/>
        <w:t xml:space="preserve">Competition law reforms</w:t>
      </w:r>
    </w:p>
    <w:p>
      <w:pPr>
        <w:spacing w:after="0"/>
        <w:numPr>
          <w:ilvl w:val="0"/>
          <w:numId w:val="2"/>
        </w:numPr>
      </w:pPr>
      <w:r>
        <w:rPr/>
        <w:t xml:space="preserve">Competition law implications of mergers and acquisitions</w:t>
      </w:r>
    </w:p>
    <w:p>
      <w:pPr>
        <w:numPr>
          <w:ilvl w:val="0"/>
          <w:numId w:val="2"/>
        </w:numPr>
      </w:pPr>
      <w:r>
        <w:rPr/>
        <w:t xml:space="preserve">Competition law implications of digital markets</w:t>
      </w:r>
    </w:p>
    <w:p>
      <w:pPr>
        <w:pStyle w:val="Heading1"/>
      </w:pPr>
      <w:bookmarkStart w:id="6" w:name="_Toc6"/>
      <w:r>
        <w:t>Report location:</w:t>
      </w:r>
      <w:bookmarkEnd w:id="6"/>
    </w:p>
    <w:p>
      <w:hyperlink r:id="rId8" w:history="1">
        <w:r>
          <w:rPr>
            <w:color w:val="2980b9"/>
            <w:u w:val="single"/>
          </w:rPr>
          <w:t xml:space="preserve">https://www.fullpicture.app/item/5a0afc17af72098ecc2cce7a55fc3ba0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8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partisanpolicy.org/blog/comparison-of-competition-law-and-policy-in-the-us-eu-uk-china-and-canada/" TargetMode="External"/><Relationship Id="rId8" Type="http://schemas.openxmlformats.org/officeDocument/2006/relationships/hyperlink" Target="https://www.fullpicture.app/item/5a0afc17af72098ecc2cce7a55fc3b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2023-02-25T22:31:13+01:00</dcterms:created>
  <dcterms:modified xsi:type="dcterms:W3CDTF">2023-02-25T22:31:13+01:00</dcterms:modified>
</cp:coreProperties>
</file>

<file path=docProps/custom.xml><?xml version="1.0" encoding="utf-8"?>
<Properties xmlns="http://schemas.openxmlformats.org/officeDocument/2006/custom-properties" xmlns:vt="http://schemas.openxmlformats.org/officeDocument/2006/docPropsVTypes"/>
</file>