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Técnicas culturales y tácticas estéticas para un nuevo contrato natural. Hacia un tercer espacio de conocimiento desde sensibilidades australes</w:t></w:r><w:br/><w:hyperlink r:id="rId7" w:history="1"><w:r><w:rPr><w:color w:val="2980b9"/><w:u w:val="single"/></w:rPr><w:t xml:space="preserve">https://www.scielo.cl/scielo.php?pid=S0718-669X2021000200052&script=sci_arttext&tlng=en</w:t></w:r></w:hyperlink></w:p><w:p><w:pPr><w:pStyle w:val="Heading1"/></w:pPr><w:bookmarkStart w:id="2" w:name="_Toc2"/><w:r><w:t>Article summary:</w:t></w:r><w:bookmarkEnd w:id="2"/></w:p><w:p><w:pPr><w:jc w:val="both"/></w:pPr><w:r><w:rPr/><w:t xml:space="preserve">1. La crisis político-medioambiental actual ha generado una desconexión entre la representación científica de la crisis y su comprensión situada, lo que ha llevado a reflexionar sobre las condiciones socioepistémicas de representación.</w:t></w:r></w:p><w:p><w:pPr><w:jc w:val="both"/></w:pPr><w:r><w:rPr/><w:t xml:space="preserve">2. Se propone un nuevo tipo de acuerdo o &quot;contrato natural&quot; entre el entorno y las prácticas humanas para la convivencia en un mundo común, desde sensibilidades australes y técnicas culturales artísticas y científicas.</w:t></w:r></w:p><w:p><w:pPr><w:jc w:val="both"/></w:pPr><w:r><w:rPr/><w:t xml:space="preserve">3. Dos casos situados en la Región de Magallanes y Antártica Chilena, el Museo de Historia Natural Río Seco y el Laboratorio de arte Liquenlab, operan desde el cruce entre arte y ciencia para establecer tácticas estéticas que vuelven sobre las condiciones políticas y sociotécnicas de representación.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El artículo presenta una reflexión interesante sobre la crisis representacional y la necesidad de un nuevo contrato natural entre el entorno y las prácticas humanas. Sin embargo, se nota una falta de claridad en cuanto a la definición de términos clave como &quot;técnicas culturales&quot; y &quot;tácticas estéticas&quot;, lo que puede dificultar la comprensión del lector.</w:t></w:r></w:p><w:p><w:pPr><w:jc w:val="both"/></w:pPr><w:r><w:rPr/><w:t xml:space="preserve"></w:t></w:r></w:p><w:p><w:pPr><w:jc w:val="both"/></w:pPr><w:r><w:rPr/><w:t xml:space="preserve">Además, el artículo parece estar sesgado hacia una perspectiva artística y cultural, sin explorar suficientemente las implicaciones científicas y tecnológicas de la crisis representacional. También se echa en falta una discusión más profunda sobre los posibles riesgos y desafíos que plantea la propuesta de un nuevo contrato natural, así como una consideración más amplia de las diferentes perspectivas teóricas que abordan este tema.</w:t></w:r></w:p><w:p><w:pPr><w:jc w:val="both"/></w:pPr><w:r><w:rPr/><w:t xml:space="preserve"></w:t></w:r></w:p><w:p><w:pPr><w:jc w:val="both"/></w:pPr><w:r><w:rPr/><w:t xml:space="preserve">En general, aunque el artículo plantea algunas ideas interesantes, su enfoque limitado y su falta de rigor pueden reducir su impacto y relevancia para los lectores interesados en este tema.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Implicaciones científicas y tecnológicas de la crisis representacional
</w:t></w:r></w:p><w:p><w:pPr><w:spacing w:after="0"/><w:numPr><w:ilvl w:val="0"/><w:numId w:val="2"/></w:numPr></w:pPr><w:r><w:rPr/><w:t xml:space="preserve">Riesgos y desafíos del nuevo contrato natural
</w:t></w:r></w:p><w:p><w:pPr><w:spacing w:after="0"/><w:numPr><w:ilvl w:val="0"/><w:numId w:val="2"/></w:numPr></w:pPr><w:r><w:rPr/><w:t xml:space="preserve">Perspectivas teóricas sobre la crisis representacional
</w:t></w:r></w:p><w:p><w:pPr><w:spacing w:after="0"/><w:numPr><w:ilvl w:val="0"/><w:numId w:val="2"/></w:numPr></w:pPr><w:r><w:rPr/><w:t xml:space="preserve">Definición de técnicas culturales
</w:t></w:r></w:p><w:p><w:pPr><w:spacing w:after="0"/><w:numPr><w:ilvl w:val="0"/><w:numId w:val="2"/></w:numPr></w:pPr><w:r><w:rPr/><w:t xml:space="preserve">Definición de tácticas estéticas
</w:t></w:r></w:p><w:p><w:pPr><w:numPr><w:ilvl w:val="0"/><w:numId w:val="2"/></w:numPr></w:pPr><w:r><w:rPr/><w:t xml:space="preserve">Crítica de la perspectiva artística en la crisis representacional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https://www.fullpicture.app/item/5a4d809160f774bf581427da11be914e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AF8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lo.cl/scielo.php?pid=S0718-669X2021000200052&amp;script=sci_arttext&amp;tlng=en" TargetMode="External"/><Relationship Id="rId8" Type="http://schemas.openxmlformats.org/officeDocument/2006/relationships/hyperlink" Target="https://www.fullpicture.app/item/5a4d809160f774bf581427da11be91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2023-04-03T11:55:15+02:00</dcterms:created>
  <dcterms:modified xsi:type="dcterms:W3CDTF">2023-04-03T11:55:15+02:00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