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Groves, Matthew --- &quot;Reviewing Reasons for Administrative Decisions: Wingfoot Australia Partners Pty Ltd v Kocak&quot; [2013] SydLawRw 25; (2013) 35(3) Sydney Law Review 627</w:t></w:r><w:br/><w:hyperlink r:id="rId7" w:history="1"><w:r><w:rPr><w:color w:val="2980b9"/><w:u w:val="single"/></w:rPr><w:t xml:space="preserve">http://classic.austlii.edu.au/cgi-bin/sinodisp/au/journals/SydLawRw/2013/25.html?stem=0&synonyms=0&query=%22duty+to+provide+reasons%22</w:t></w:r></w:hyperlink></w:p><w:p><w:pPr><w:pStyle w:val="Heading1"/></w:pPr><w:bookmarkStart w:id="2" w:name="_Toc2"/><w:r><w:t>Article summary:</w:t></w:r><w:bookmarkEnd w:id="2"/></w:p><w:p><w:pPr><w:jc w:val="both"/></w:pPr><w:r><w:rPr/><w:t xml:space="preserve">1. Wingfoot Australia Partners Pty Ltd v Kocak is a significant case in administrative law that deals with the review of reasons for administrative decisions.</w:t></w:r></w:p><w:p><w:pPr><w:jc w:val="both"/></w:pPr><w:r><w:rPr/><w:t xml:space="preserve">2. The case highlights the importance of providing clear and rational reasons for administrative decisions, as well as the need for courts to scrutinize those reasons to ensure they are legally valid.</w:t></w:r></w:p><w:p><w:pPr><w:jc w:val="both"/></w:pPr><w:r><w:rPr/><w:t xml:space="preserve">3. The article argues that the decision in Wingfoot Australia Partners Pty Ltd v Kocak represents a shift towards greater judicial oversight of administrative decision-making, which could have important implications for future cases in this area of law.</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作为一篇评论性文章，本文对于Wingfoot Australia Partners Pty Ltd v Kocak案件的审判结果进行了批判性分析。然而，在这个过程中，作者可能存在一些潜在的偏见和片面报道。</w:t></w:r></w:p><w:p><w:pPr><w:jc w:val="both"/></w:pPr><w:r><w:rPr/><w:t xml:space="preserve"></w:t></w:r></w:p><w:p><w:pPr><w:jc w:val="both"/></w:pPr><w:r><w:rPr/><w:t xml:space="preserve">首先，作者没有充分考虑到案件中双方的立场和证据。文章只关注了法院对于行政决定理由的审查标准，并没有平等地呈现双方的观点和证据。这种不平衡的报道可能导致读者对于案件本身的理解产生误解。</w:t></w:r></w:p><w:p><w:pPr><w:jc w:val="both"/></w:pPr><w:r><w:rPr/><w:t xml:space="preserve"></w:t></w:r></w:p><w:p><w:pPr><w:jc w:val="both"/></w:pPr><w:r><w:rPr/><w:t xml:space="preserve">其次，作者提出了一些主张，但是缺乏足够的证据来支持这些主张。例如，作者认为该案件中行政机构没有充分考虑到公众利益因素，但是并没有提供具体证据来支持这个观点。这种无根据的主张可能会影响读者对于该案件的评价。</w:t></w:r></w:p><w:p><w:pPr><w:jc w:val="both"/></w:pPr><w:r><w:rPr/><w:t xml:space="preserve"></w:t></w:r></w:p><w:p><w:pPr><w:jc w:val="both"/></w:pPr><w:r><w:rPr/><w:t xml:space="preserve">此外，文章也存在一些未探索的反驳和宣传内容。例如，在讨论行政机构是否考虑到公众利益时，作者并没有探讨行政机构可能已经考虑到了公众利益，并且做出了相应决定的可能性。同时，在批评行政机构时，作者也没有提供任何建设性意见或者改进方案。</w:t></w:r></w:p><w:p><w:pPr><w:jc w:val="both"/></w:pPr><w:r><w:rPr/><w:t xml:space="preserve"></w:t></w:r></w:p><w:p><w:pPr><w:jc w:val="both"/></w:pPr><w:r><w:rPr/><w:t xml:space="preserve">最后，文章可能存在一些偏袒的情况。作者对于行政机构的决定进行了批评，但是并没有对于企业方面的行为进行同样的批评。这种偏袒可能会影响读者对于该案件的客观评价。</w:t></w:r></w:p><w:p><w:pPr><w:jc w:val="both"/></w:pPr><w:r><w:rPr/><w:t xml:space="preserve"></w:t></w:r></w:p><w:p><w:pPr><w:jc w:val="both"/></w:pPr><w:r><w:rPr/><w:t xml:space="preserve">综上所述，本文在分析Wingfoot Australia Partners Pty Ltd v Kocak案件时存在一些潜在的偏见和片面报道。作者提出了一些主张，但是缺乏足够的证据来支持这些主张，并且未探索反驳和提供建设性意见。同时，文章也存在一定程度上的偏袒现象。</w:t></w:r></w:p><w:p><w:pPr><w:pStyle w:val="Heading1"/></w:pPr><w:bookmarkStart w:id="5" w:name="_Toc5"/><w:r><w:t>Topics for further research:</w:t></w:r><w:bookmarkEnd w:id="5"/></w:p><w:p><w:pPr><w:spacing w:after="0"/><w:numPr><w:ilvl w:val="0"/><w:numId w:val="2"/></w:numPr></w:pPr><w:r><w:rPr/><w:t xml:space="preserve">双方的证据和观点
</w:t></w:r></w:p><w:p><w:pPr><w:spacing w:after="0"/><w:numPr><w:ilvl w:val="0"/><w:numId w:val="2"/></w:numPr></w:pPr><w:r><w:rPr/><w:t xml:space="preserve">公众利益因素的考虑
</w:t></w:r></w:p><w:p><w:pPr><w:spacing w:after="0"/><w:numPr><w:ilvl w:val="0"/><w:numId w:val="2"/></w:numPr></w:pPr><w:r><w:rPr/><w:t xml:space="preserve">缺乏证据支持的主张
</w:t></w:r></w:p><w:p><w:pPr><w:spacing w:after="0"/><w:numPr><w:ilvl w:val="0"/><w:numId w:val="2"/></w:numPr></w:pPr><w:r><w:rPr/><w:t xml:space="preserve">未探索的反驳和提供建设性意见
</w:t></w:r></w:p><w:p><w:pPr><w:spacing w:after="0"/><w:numPr><w:ilvl w:val="0"/><w:numId w:val="2"/></w:numPr></w:pPr><w:r><w:rPr/><w:t xml:space="preserve">对企业方面的行为缺乏批评
</w:t></w:r></w:p><w:p><w:pPr><w:numPr><w:ilvl w:val="0"/><w:numId w:val="2"/></w:numPr></w:pPr><w:r><w:rPr/><w:t xml:space="preserve">存在偏袒现象</w:t></w:r></w:p><w:p><w:pPr><w:pStyle w:val="Heading1"/></w:pPr><w:bookmarkStart w:id="6" w:name="_Toc6"/><w:r><w:t>Report location:</w:t></w:r><w:bookmarkEnd w:id="6"/></w:p><w:p><w:hyperlink r:id="rId8" w:history="1"><w:r><w:rPr><w:color w:val="2980b9"/><w:u w:val="single"/></w:rPr><w:t xml:space="preserve">https://www.fullpicture.app/item/5a8d7992c6059bbea43ae3e934dd9e42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B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lassic.austlii.edu.au/cgi-bin/sinodisp/au/journals/SydLawRw/2013/25.html?stem=0&amp;synonyms=0&amp;query=%22duty+to+provide+reasons%22" TargetMode="External"/><Relationship Id="rId8" Type="http://schemas.openxmlformats.org/officeDocument/2006/relationships/hyperlink" Target="https://www.fullpicture.app/item/5a8d7992c6059bbea43ae3e934dd9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2023-12-02T10:47:01+01:00</dcterms:created>
  <dcterms:modified xsi:type="dcterms:W3CDTF">2023-12-02T10:47:01+01:00</dcterms:modified>
</cp:coreProperties>
</file>

<file path=docProps/custom.xml><?xml version="1.0" encoding="utf-8"?>
<Properties xmlns="http://schemas.openxmlformats.org/officeDocument/2006/custom-properties" xmlns:vt="http://schemas.openxmlformats.org/officeDocument/2006/docPropsVTypes"/>
</file>