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baseline core volume and early midline shift in acute stroke patients with a large ischaemic core - PubMed</w:t>
      </w:r>
      <w:br/>
      <w:hyperlink r:id="rId7" w:history="1">
        <w:r>
          <w:rPr>
            <w:color w:val="2980b9"/>
            <w:u w:val="single"/>
          </w:rPr>
          <w:t xml:space="preserve">https://pubmed.ncbi.nlm.nih.gov/36698883/</w:t>
        </w:r>
      </w:hyperlink>
    </w:p>
    <w:p>
      <w:pPr>
        <w:pStyle w:val="Heading1"/>
      </w:pPr>
      <w:bookmarkStart w:id="2" w:name="_Toc2"/>
      <w:r>
        <w:t>Article summary:</w:t>
      </w:r>
      <w:bookmarkEnd w:id="2"/>
    </w:p>
    <w:p>
      <w:pPr>
        <w:jc w:val="both"/>
      </w:pPr>
      <w:r>
        <w:rPr/>
        <w:t xml:space="preserve">1. This study explored the relationship between baseline infarct core volume and early midline shift (MLS) presence in acute stroke patients with a large ischaemic core. </w:t>
      </w:r>
    </w:p>
    <w:p>
      <w:pPr>
        <w:jc w:val="both"/>
      </w:pPr>
      <w:r>
        <w:rPr/>
        <w:t xml:space="preserve">2. The study found that a baseline relative cerebral blood flow (rCBF) &lt; 15% volume ≥40 ml was associated with early MLS presence after adjustment for sex, age, baseline National Institutes of Health Stroke Scale score, and onset-to-recanalization time. </w:t>
      </w:r>
    </w:p>
    <w:p>
      <w:pPr>
        <w:jc w:val="both"/>
      </w:pPr>
      <w:r>
        <w:rPr/>
        <w:t xml:space="preserve">3. The results suggest that a pretreatment infarct core volume &gt; 40 ml based on an rCBF &lt; 15% can be used to predict early MLS occurrence in patients with an acute LIC following endovascular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association between baseline infarct core volume and early midline shift (MLS) presence in acute stroke patients with a large ischaemic core. The authors conducted a retrospective analysis of 95 patients who had undergone endovascular treatment (EVT). They found that 29.5% of the patients had early MLS, and that those with a baseline rCBF &lt; 15% volume ≥40 ml were more likely to have early MLS presence than those with an rCBF &lt; 30% volume. </w:t>
      </w:r>
    </w:p>
    <w:p>
      <w:pPr>
        <w:jc w:val="both"/>
      </w:pPr>
      <w:r>
        <w:rPr/>
        <w:t xml:space="preserve">The article is generally reliable and trustworthy, as it provides detailed information about the methods used in the study and presents clear results from the analysis. However, there are some potential biases that should be noted. First, this was a retrospective study which may have introduced bias due to selection criteria or recall bias from participants’ self-reporting of data. Second, the sample size was relatively small which may limit the generalizability of the findings to larger populations. Third, there may be other factors not considered in this study which could influence MLS presence such as patient comorbidities or medications taken prior to EVT. Finally, it should also be noted that this study did not explore any potential risks associated with having an increased infarct core volume or early MLS presence following EVT. </w:t>
      </w:r>
    </w:p>
    <w:p>
      <w:pPr>
        <w:jc w:val="both"/>
      </w:pPr>
      <w:r>
        <w:rPr/>
        <w:t xml:space="preserve">In conclusion, this article provides useful insights into the association between baseline infarct core volume and early midline shift (MLS) presence in acute stroke patients with a large ischaemic core; however, potential biases should be taken into consideration when interpreting these findings.</w:t>
      </w:r>
    </w:p>
    <w:p>
      <w:pPr>
        <w:pStyle w:val="Heading1"/>
      </w:pPr>
      <w:bookmarkStart w:id="5" w:name="_Toc5"/>
      <w:r>
        <w:t>Topics for further research:</w:t>
      </w:r>
      <w:bookmarkEnd w:id="5"/>
    </w:p>
    <w:p>
      <w:pPr>
        <w:spacing w:after="0"/>
        <w:numPr>
          <w:ilvl w:val="0"/>
          <w:numId w:val="2"/>
        </w:numPr>
      </w:pPr>
      <w:r>
        <w:rPr/>
        <w:t xml:space="preserve">Acute stroke patient comorbidities</w:t>
      </w:r>
    </w:p>
    <w:p>
      <w:pPr>
        <w:spacing w:after="0"/>
        <w:numPr>
          <w:ilvl w:val="0"/>
          <w:numId w:val="2"/>
        </w:numPr>
      </w:pPr>
      <w:r>
        <w:rPr/>
        <w:t xml:space="preserve">Endovascular treatment risks</w:t>
      </w:r>
    </w:p>
    <w:p>
      <w:pPr>
        <w:spacing w:after="0"/>
        <w:numPr>
          <w:ilvl w:val="0"/>
          <w:numId w:val="2"/>
        </w:numPr>
      </w:pPr>
      <w:r>
        <w:rPr/>
        <w:t xml:space="preserve">Midline shift presence risk factors</w:t>
      </w:r>
    </w:p>
    <w:p>
      <w:pPr>
        <w:spacing w:after="0"/>
        <w:numPr>
          <w:ilvl w:val="0"/>
          <w:numId w:val="2"/>
        </w:numPr>
      </w:pPr>
      <w:r>
        <w:rPr/>
        <w:t xml:space="preserve">Retrospective study bias</w:t>
      </w:r>
    </w:p>
    <w:p>
      <w:pPr>
        <w:spacing w:after="0"/>
        <w:numPr>
          <w:ilvl w:val="0"/>
          <w:numId w:val="2"/>
        </w:numPr>
      </w:pPr>
      <w:r>
        <w:rPr/>
        <w:t xml:space="preserve">Ischaemic core volume thresholds</w:t>
      </w:r>
    </w:p>
    <w:p>
      <w:pPr>
        <w:numPr>
          <w:ilvl w:val="0"/>
          <w:numId w:val="2"/>
        </w:numPr>
      </w:pPr>
      <w:r>
        <w:rPr/>
        <w:t xml:space="preserve">Self-reporting data recall bias</w:t>
      </w:r>
    </w:p>
    <w:p>
      <w:pPr>
        <w:pStyle w:val="Heading1"/>
      </w:pPr>
      <w:bookmarkStart w:id="6" w:name="_Toc6"/>
      <w:r>
        <w:t>Report location:</w:t>
      </w:r>
      <w:bookmarkEnd w:id="6"/>
    </w:p>
    <w:p>
      <w:hyperlink r:id="rId8" w:history="1">
        <w:r>
          <w:rPr>
            <w:color w:val="2980b9"/>
            <w:u w:val="single"/>
          </w:rPr>
          <w:t xml:space="preserve">https://www.fullpicture.app/item/5b18bbf4ac662499f8dfa40e36149145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D4C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98883/" TargetMode="External"/><Relationship Id="rId8" Type="http://schemas.openxmlformats.org/officeDocument/2006/relationships/hyperlink" Target="https://www.fullpicture.app/item/5b18bbf4ac662499f8dfa40e361491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2023-02-24T03:27:58+01:00</dcterms:created>
  <dcterms:modified xsi:type="dcterms:W3CDTF">2023-02-24T03:27:58+01:00</dcterms:modified>
</cp:coreProperties>
</file>

<file path=docProps/custom.xml><?xml version="1.0" encoding="utf-8"?>
<Properties xmlns="http://schemas.openxmlformats.org/officeDocument/2006/custom-properties" xmlns:vt="http://schemas.openxmlformats.org/officeDocument/2006/docPropsVTypes"/>
</file>