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Opposing Role of NMDA Receptor GluN2B and GluN2D in Somatosensory Development and Maturation - PMC</w:t>
      </w:r>
      <w:br/>
      <w:hyperlink r:id="rId7" w:history="1">
        <w:r>
          <w:rPr>
            <w:color w:val="2980b9"/>
            <w:u w:val="single"/>
          </w:rPr>
          <w:t xml:space="preserve">https://www.ncbi.nlm.nih.gov/pmc/articles/PMC6608404/</w:t>
        </w:r>
      </w:hyperlink>
    </w:p>
    <w:p>
      <w:pPr>
        <w:pStyle w:val="Heading1"/>
      </w:pPr>
      <w:bookmarkStart w:id="2" w:name="_Toc2"/>
      <w:r>
        <w:t>Article summary:</w:t>
      </w:r>
      <w:bookmarkEnd w:id="2"/>
    </w:p>
    <w:p>
      <w:pPr>
        <w:jc w:val="both"/>
      </w:pPr>
      <w:r>
        <w:rPr/>
        <w:t xml:space="preserve">1. The NMDA type of glutamate receptors plays a key role in activity-dependent refinement of the whisker-related central patterning.</w:t>
      </w:r>
    </w:p>
    <w:p>
      <w:pPr>
        <w:jc w:val="both"/>
      </w:pPr>
      <w:r>
        <w:rPr/>
        <w:t xml:space="preserve">2. GluN2B and GluN2D play counteractive roles in temporal development and maturation of somatosensory maps without affecting the magnitude of critical period plasticity.</w:t>
      </w:r>
    </w:p>
    <w:p>
      <w:pPr>
        <w:jc w:val="both"/>
      </w:pPr>
      <w:r>
        <w:rPr/>
        <w:t xml:space="preserve">3. GluN2B is mainly expressed in glutamatergic neurons constituting the ascending somatosensory pathway and facilitates the formation and maturation of whisker-related patterning, whereas GluN2D is selective to GABAergic neurons constituting local inhibitory circuits and delays the patterning.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"Opposing Role of NMDA Receptor GluN2B and GluN2D in Somatosensory Development and Maturation" presents a study on the role of two regulatory subunits of neonatal NMDA receptors, GluN2B and GluN2D, in the development of whisker-related patterning at trigeminal relay stations. The study found that GluN2B and GluN2D play counteractive roles in temporal development and maturation of somatosensory maps without affecting the magnitude of critical period plasticity.</w:t>
      </w:r>
    </w:p>
    <w:p>
      <w:pPr>
        <w:jc w:val="both"/>
      </w:pPr>
      <w:r>
        <w:rPr/>
        <w:t xml:space="preserve"/>
      </w:r>
    </w:p>
    <w:p>
      <w:pPr>
        <w:jc w:val="both"/>
      </w:pPr>
      <w:r>
        <w:rPr/>
        <w:t xml:space="preserve">The article provides a detailed description of the methods used in the study, including animal breeding, genotyping, fixation, cytochrome oxidase histochemistry, Nissl staining, infraorbital nerve transection (ION), developmental appearance and critical period plasticity termination assessment, lesion-induced critical period plasticity assessment, in situ hybridization, and statistical analysis. The authors also discuss their findings in detail and provide possible explanations for the opposing roles played by GluN2B and GluN2D.</w:t>
      </w:r>
    </w:p>
    <w:p>
      <w:pPr>
        <w:jc w:val="both"/>
      </w:pPr>
      <w:r>
        <w:rPr/>
        <w:t xml:space="preserve"/>
      </w:r>
    </w:p>
    <w:p>
      <w:pPr>
        <w:jc w:val="both"/>
      </w:pPr>
      <w:r>
        <w:rPr/>
        <w:t xml:space="preserve">Overall, the article appears to be well-written and informative. However, there are some potential biases that should be noted. For example, the study only focuses on two regulatory subunits of neonatal NMDA receptors (GluN2B and GluN2D) and does not consider other factors that may contribute to somatosensory development. Additionally, while the authors provide possible explanations for their findings based on neuronal and synaptic expressions of the two subunits along the trigeminal pathway, they do not explore alternative explanations or counterarguments.</w:t>
      </w:r>
    </w:p>
    <w:p>
      <w:pPr>
        <w:jc w:val="both"/>
      </w:pPr>
      <w:r>
        <w:rPr/>
        <w:t xml:space="preserve"/>
      </w:r>
    </w:p>
    <w:p>
      <w:pPr>
        <w:jc w:val="both"/>
      </w:pPr>
      <w:r>
        <w:rPr/>
        <w:t xml:space="preserve">Furthermore, while the article notes that mice were treated according to guidelines for care and use of laboratory animals at Hokkaido University School of Medicine, it does not mention any potential risks or ethical considerations associated with animal experimentation. Additionally, while the authors note that Fisher's exact probability test was used for statistical evaluation, they do not provide any information about potential limitations or sources of bias associated with this method.</w:t>
      </w:r>
    </w:p>
    <w:p>
      <w:pPr>
        <w:jc w:val="both"/>
      </w:pPr>
      <w:r>
        <w:rPr/>
        <w:t xml:space="preserve"/>
      </w:r>
    </w:p>
    <w:p>
      <w:pPr>
        <w:jc w:val="both"/>
      </w:pPr>
      <w:r>
        <w:rPr/>
        <w:t xml:space="preserve">In conclusion, while "Opposing Role of NMDA Receptor GluN2B and GluN2D in Somatosensory Development and Maturation" provides valuable insights into the role played by two regulatory subunits of neonatal NMDA receptors in somatosensory development, it is important to consider potential biases and limitations associated with this study when interpreting its findings.</w:t>
      </w:r>
    </w:p>
    <w:p>
      <w:pPr>
        <w:pStyle w:val="Heading1"/>
      </w:pPr>
      <w:bookmarkStart w:id="5" w:name="_Toc5"/>
      <w:r>
        <w:t>Topics for further research:</w:t>
      </w:r>
      <w:bookmarkEnd w:id="5"/>
    </w:p>
    <w:p>
      <w:pPr>
        <w:spacing w:after="0"/>
        <w:numPr>
          <w:ilvl w:val="0"/>
          <w:numId w:val="2"/>
        </w:numPr>
      </w:pPr>
      <w:r>
        <w:rPr/>
        <w:t xml:space="preserve">Other factors contributing to somatosensory development beyond GluN2B and GluN2D
</w:t>
      </w:r>
    </w:p>
    <w:p>
      <w:pPr>
        <w:spacing w:after="0"/>
        <w:numPr>
          <w:ilvl w:val="0"/>
          <w:numId w:val="2"/>
        </w:numPr>
      </w:pPr>
      <w:r>
        <w:rPr/>
        <w:t xml:space="preserve">Ethical considerations in animal experimentation
</w:t>
      </w:r>
    </w:p>
    <w:p>
      <w:pPr>
        <w:spacing w:after="0"/>
        <w:numPr>
          <w:ilvl w:val="0"/>
          <w:numId w:val="2"/>
        </w:numPr>
      </w:pPr>
      <w:r>
        <w:rPr/>
        <w:t xml:space="preserve">Alternative explanations for the opposing roles of GluN2B and GluN2D
</w:t>
      </w:r>
    </w:p>
    <w:p>
      <w:pPr>
        <w:spacing w:after="0"/>
        <w:numPr>
          <w:ilvl w:val="0"/>
          <w:numId w:val="2"/>
        </w:numPr>
      </w:pPr>
      <w:r>
        <w:rPr/>
        <w:t xml:space="preserve">Limitations and biases of Fisher's exact probability test
</w:t>
      </w:r>
    </w:p>
    <w:p>
      <w:pPr>
        <w:spacing w:after="0"/>
        <w:numPr>
          <w:ilvl w:val="0"/>
          <w:numId w:val="2"/>
        </w:numPr>
      </w:pPr>
      <w:r>
        <w:rPr/>
        <w:t xml:space="preserve">Role of NMDA receptors in other sensory modalities
</w:t>
      </w:r>
    </w:p>
    <w:p>
      <w:pPr>
        <w:numPr>
          <w:ilvl w:val="0"/>
          <w:numId w:val="2"/>
        </w:numPr>
      </w:pPr>
      <w:r>
        <w:rPr/>
        <w:t xml:space="preserve">Developmental plasticity in other brain regions beyond the trigeminal pathway</w:t>
      </w:r>
    </w:p>
    <w:p>
      <w:pPr>
        <w:pStyle w:val="Heading1"/>
      </w:pPr>
      <w:bookmarkStart w:id="6" w:name="_Toc6"/>
      <w:r>
        <w:t>Report location:</w:t>
      </w:r>
      <w:bookmarkEnd w:id="6"/>
    </w:p>
    <w:p>
      <w:hyperlink r:id="rId8" w:history="1">
        <w:r>
          <w:rPr>
            <w:color w:val="2980b9"/>
            <w:u w:val="single"/>
          </w:rPr>
          <w:t xml:space="preserve">https://www.fullpicture.app/item/5c1bd2c13f901e9615fbb0fb5305b271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8C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608404/" TargetMode="External"/><Relationship Id="rId8" Type="http://schemas.openxmlformats.org/officeDocument/2006/relationships/hyperlink" Target="https://www.fullpicture.app/item/5c1bd2c13f901e9615fbb0fb5305b2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2023-12-07T06:03:59+01:00</dcterms:created>
  <dcterms:modified xsi:type="dcterms:W3CDTF">2023-12-07T06:03:59+01:00</dcterms:modified>
</cp:coreProperties>
</file>

<file path=docProps/custom.xml><?xml version="1.0" encoding="utf-8"?>
<Properties xmlns="http://schemas.openxmlformats.org/officeDocument/2006/custom-properties" xmlns:vt="http://schemas.openxmlformats.org/officeDocument/2006/docPropsVTypes"/>
</file>