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Hedging emerging market stock prices with oil, gold, VIX, and bonds: A comparison between DCC, ADCC and GO-GARCH - ScienceDirect</w:t>
      </w:r>
      <w:br/>
      <w:hyperlink r:id="rId7" w:history="1">
        <w:r>
          <w:rPr>
            <w:color w:val="2980b9"/>
            <w:u w:val="single"/>
          </w:rPr>
          <w:t xml:space="preserve">https://vpn.jlu.edu.cn/https/44696469646131313237446964696461bd6feb2610cba212c258e268de7790f17702c29fe5/science/article/pii/S0140988315003485?via%3Dihub=</w:t>
        </w:r>
      </w:hyperlink>
    </w:p>
    <w:p>
      <w:pPr>
        <w:pStyle w:val="Heading1"/>
      </w:pPr>
      <w:bookmarkStart w:id="2" w:name="_Toc2"/>
      <w:r>
        <w:t>Article summary:</w:t>
      </w:r>
      <w:bookmarkEnd w:id="2"/>
    </w:p>
    <w:p>
      <w:pPr>
        <w:jc w:val="both"/>
      </w:pPr>
      <w:r>
        <w:rPr/>
        <w:t xml:space="preserve">1. 本文比较了使用DCC、ADCC和GO-GARCH模型对新兴市场股票价格进行对冲的效果。研究发现，在大多数情况下，石油是对冲新兴市场股票价格最有效的资产。</w:t>
      </w:r>
    </w:p>
    <w:p>
      <w:pPr>
        <w:jc w:val="both"/>
      </w:pPr>
      <w:r>
        <w:rPr/>
        <w:t xml:space="preserve">2. ADCC模型估计的对冲比率在使用石油、VIX或债券对冲新兴市场股票价格时效果最好。而GO-GARCH模型估计的对冲比率在某些情况下对冲新兴市场股票价格与黄金最有效。</w:t>
      </w:r>
    </w:p>
    <w:p>
      <w:pPr>
        <w:jc w:val="both"/>
      </w:pPr>
      <w:r>
        <w:rPr/>
        <w:t xml:space="preserve">3. 这些结果在模型重新拟合、预测长度和分布假设选择方面相对稳健。</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偏见来源：文章没有提及作者的背景和利益关系，这可能导致潜在的偏见。例如，如果作者有与石油或黄金相关的利益关系，他们可能倾向于宣传这些资产作为对新兴市场股票价格进行对冲的最佳选择。</w:t>
      </w:r>
    </w:p>
    <w:p>
      <w:pPr>
        <w:jc w:val="both"/>
      </w:pPr>
      <w:r>
        <w:rPr/>
        <w:t xml:space="preserve"/>
      </w:r>
    </w:p>
    <w:p>
      <w:pPr>
        <w:jc w:val="both"/>
      </w:pPr>
      <w:r>
        <w:rPr/>
        <w:t xml:space="preserve">2. 片面报道：文章只比较了DCC、ADCC和GO-GARCH模型，并没有考虑其他可能的模型或方法。这种片面报道可能导致读者得出不完整或误导性的结论。</w:t>
      </w:r>
    </w:p>
    <w:p>
      <w:pPr>
        <w:jc w:val="both"/>
      </w:pPr>
      <w:r>
        <w:rPr/>
        <w:t xml:space="preserve"/>
      </w:r>
    </w:p>
    <w:p>
      <w:pPr>
        <w:jc w:val="both"/>
      </w:pPr>
      <w:r>
        <w:rPr/>
        <w:t xml:space="preserve">3. 无根据的主张：文章声称在大多数情况下，石油是对冲新兴市场股票价格的最佳资产，但没有提供足够的证据来支持这一主张。缺乏详细数据和统计分析使得读者难以评估该主张的可靠性。</w:t>
      </w:r>
    </w:p>
    <w:p>
      <w:pPr>
        <w:jc w:val="both"/>
      </w:pPr>
      <w:r>
        <w:rPr/>
        <w:t xml:space="preserve"/>
      </w:r>
    </w:p>
    <w:p>
      <w:pPr>
        <w:jc w:val="both"/>
      </w:pPr>
      <w:r>
        <w:rPr/>
        <w:t xml:space="preserve">4. 缺失的考虑点：文章没有讨论其他可能影响新兴市场股票价格波动性和相关性的因素。例如，政治风险、经济指标、货币政策等都可以对新兴市场产生重大影响，但在该研究中未被考虑。</w:t>
      </w:r>
    </w:p>
    <w:p>
      <w:pPr>
        <w:jc w:val="both"/>
      </w:pPr>
      <w:r>
        <w:rPr/>
        <w:t xml:space="preserve"/>
      </w:r>
    </w:p>
    <w:p>
      <w:pPr>
        <w:jc w:val="both"/>
      </w:pPr>
      <w:r>
        <w:rPr/>
        <w:t xml:space="preserve">5. 所提出主张的缺失证据：尽管文章声称ADCC模型对于使用石油、VIX或债券对冲新兴市场股票价格最有效，但没有提供足够的证据来支持这一主张。缺乏详细的统计分析和实证结果使得读者难以验证该主张的准确性。</w:t>
      </w:r>
    </w:p>
    <w:p>
      <w:pPr>
        <w:jc w:val="both"/>
      </w:pPr>
      <w:r>
        <w:rPr/>
        <w:t xml:space="preserve"/>
      </w:r>
    </w:p>
    <w:p>
      <w:pPr>
        <w:jc w:val="both"/>
      </w:pPr>
      <w:r>
        <w:rPr/>
        <w:t xml:space="preserve">6. 未探索的反驳：文章没有探讨可能与其主张相矛盾的观点或研究结果。这种选择性地忽略反驳意见可能导致读者得出不完整或误导性的结论。</w:t>
      </w:r>
    </w:p>
    <w:p>
      <w:pPr>
        <w:jc w:val="both"/>
      </w:pPr>
      <w:r>
        <w:rPr/>
        <w:t xml:space="preserve"/>
      </w:r>
    </w:p>
    <w:p>
      <w:pPr>
        <w:jc w:val="both"/>
      </w:pPr>
      <w:r>
        <w:rPr/>
        <w:t xml:space="preserve">7. 宣传内容：文章似乎试图宣传使用石油、黄金、VIX和债券作为对冲新兴市场股票价格的最佳选择。然而，缺乏全面和客观的分析使得读者难以确定这些资产是否真正适合用于对冲目的。</w:t>
      </w:r>
    </w:p>
    <w:p>
      <w:pPr>
        <w:jc w:val="both"/>
      </w:pPr>
      <w:r>
        <w:rPr/>
        <w:t xml:space="preserve"/>
      </w:r>
    </w:p>
    <w:p>
      <w:pPr>
        <w:jc w:val="both"/>
      </w:pPr>
      <w:r>
        <w:rPr/>
        <w:t xml:space="preserve">8. 偏袒：文章没有平等地呈现双方观点或证据，而是偏向于支持使用特定资产进行对冲。这种偏袒可能导致读者得出不完整或误导性的结论。</w:t>
      </w:r>
    </w:p>
    <w:p>
      <w:pPr>
        <w:jc w:val="both"/>
      </w:pPr>
      <w:r>
        <w:rPr/>
        <w:t xml:space="preserve"/>
      </w:r>
    </w:p>
    <w:p>
      <w:pPr>
        <w:jc w:val="both"/>
      </w:pPr>
      <w:r>
        <w:rPr/>
        <w:t xml:space="preserve">9. 忽视潜在风险：文章没有明确讨论使用石油、黄金、VIX和债券进行对冲可能面临的潜在风险。例如，这些资产的价格波动性本身可能会导致对冲策略的失败。</w:t>
      </w:r>
    </w:p>
    <w:p>
      <w:pPr>
        <w:jc w:val="both"/>
      </w:pPr>
      <w:r>
        <w:rPr/>
        <w:t xml:space="preserve"/>
      </w:r>
    </w:p>
    <w:p>
      <w:pPr>
        <w:jc w:val="both"/>
      </w:pPr>
      <w:r>
        <w:rPr/>
        <w:t xml:space="preserve">总体而言，上述文章存在一些潜在的问题和偏见，包括片面报道、无根据的主张、缺失的考虑点和偏袒。读者应该谨慎对待其中提出的结论，并寻找更全面和客观的研究来支持自己的决策。</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其他可能的模型或方法
</w:t>
      </w:r>
    </w:p>
    <w:p>
      <w:pPr>
        <w:spacing w:after="0"/>
        <w:numPr>
          <w:ilvl w:val="0"/>
          <w:numId w:val="2"/>
        </w:numPr>
      </w:pPr>
      <w:r>
        <w:rPr/>
        <w:t xml:space="preserve">对石油作为最佳资产的证据
</w:t>
      </w:r>
    </w:p>
    <w:p>
      <w:pPr>
        <w:spacing w:after="0"/>
        <w:numPr>
          <w:ilvl w:val="0"/>
          <w:numId w:val="2"/>
        </w:numPr>
      </w:pPr>
      <w:r>
        <w:rPr/>
        <w:t xml:space="preserve">其他影响新兴市场股票价格的因素
</w:t>
      </w:r>
    </w:p>
    <w:p>
      <w:pPr>
        <w:spacing w:after="0"/>
        <w:numPr>
          <w:ilvl w:val="0"/>
          <w:numId w:val="2"/>
        </w:numPr>
      </w:pPr>
      <w:r>
        <w:rPr/>
        <w:t xml:space="preserve">ADCC模型对于对冲的有效性的证据
</w:t>
      </w:r>
    </w:p>
    <w:p>
      <w:pPr>
        <w:numPr>
          <w:ilvl w:val="0"/>
          <w:numId w:val="2"/>
        </w:numPr>
      </w:pPr>
      <w:r>
        <w:rPr/>
        <w:t xml:space="preserve">反驳意见和研究结果</w:t>
      </w:r>
    </w:p>
    <w:p>
      <w:pPr>
        <w:pStyle w:val="Heading1"/>
      </w:pPr>
      <w:bookmarkStart w:id="6" w:name="_Toc6"/>
      <w:r>
        <w:t>Report location:</w:t>
      </w:r>
      <w:bookmarkEnd w:id="6"/>
    </w:p>
    <w:p>
      <w:hyperlink r:id="rId8" w:history="1">
        <w:r>
          <w:rPr>
            <w:color w:val="2980b9"/>
            <w:u w:val="single"/>
          </w:rPr>
          <w:t xml:space="preserve">https://www.fullpicture.app/item/5c223c8c630220c80d224032ac46f063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75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pn.jlu.edu.cn/https/44696469646131313237446964696461bd6feb2610cba212c258e268de7790f17702c29fe5/science/article/pii/S0140988315003485?via%3Dihub=" TargetMode="External"/><Relationship Id="rId8" Type="http://schemas.openxmlformats.org/officeDocument/2006/relationships/hyperlink" Target="https://www.fullpicture.app/item/5c223c8c630220c80d224032ac46f0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2023-12-05T02:31:05+01:00</dcterms:created>
  <dcterms:modified xsi:type="dcterms:W3CDTF">2023-12-05T02:31:05+01:00</dcterms:modified>
</cp:coreProperties>
</file>

<file path=docProps/custom.xml><?xml version="1.0" encoding="utf-8"?>
<Properties xmlns="http://schemas.openxmlformats.org/officeDocument/2006/custom-properties" xmlns:vt="http://schemas.openxmlformats.org/officeDocument/2006/docPropsVTypes"/>
</file>