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Towards stoichiometric analogues of graphene: graphane, fluorographene, graphol, graphene acid and others | 10.1039/C7CS00215G</w:t>
      </w:r>
      <w:br/>
      <w:hyperlink r:id="rId7" w:history="1">
        <w:r>
          <w:rPr>
            <w:color w:val="2980b9"/>
            <w:u w:val="single"/>
          </w:rPr>
          <w:t xml:space="preserve">https://sci-hub.ee/10.1039/c7cs00215g</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This article discusses various stoichiometric analogues of graphene, such as graphane, fluorographene, graphol, and graphene acid.</w:t>
      </w:r>
    </w:p>
    <w:p>
      <w:pPr>
        <w:jc w:val="both"/>
      </w:pPr>
      <w:r>
        <w:rPr/>
        <w:t xml:space="preserve">3. The article provides an overview of the properties and potential applications of these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in its content. It provides an overview of the properties and potential applications of various stoichiometric analogues of graphene, such as graphane, fluorographene, graphol, and graphene acid. The article is well-researched and provides detailed information about each material discussed. The sources used are credible and the claims made are supported by evidence from scientific studies. There does not appear to be any bias or one-sided reporting in the article; it presents both sides equally and explores counterarguments where appropriate. There is no promotional content or partiality present in the article either. The possible risks associated with each material are noted throughout the article, making it clear that further research is needed before any conclusions can be drawn about their safety or efficacy for certain applications.</w:t>
      </w:r>
    </w:p>
    <w:p>
      <w:pPr>
        <w:pStyle w:val="Heading1"/>
      </w:pPr>
      <w:bookmarkStart w:id="5" w:name="_Toc5"/>
      <w:r>
        <w:t>Topics for further research:</w:t>
      </w:r>
      <w:bookmarkEnd w:id="5"/>
    </w:p>
    <w:p>
      <w:pPr>
        <w:spacing w:after="0"/>
        <w:numPr>
          <w:ilvl w:val="0"/>
          <w:numId w:val="2"/>
        </w:numPr>
      </w:pPr>
      <w:r>
        <w:rPr/>
        <w:t xml:space="preserve">Graphene analogues synthesis</w:t>
      </w:r>
    </w:p>
    <w:p>
      <w:pPr>
        <w:spacing w:after="0"/>
        <w:numPr>
          <w:ilvl w:val="0"/>
          <w:numId w:val="2"/>
        </w:numPr>
      </w:pPr>
      <w:r>
        <w:rPr/>
        <w:t xml:space="preserve">Graphene analogues properties</w:t>
      </w:r>
    </w:p>
    <w:p>
      <w:pPr>
        <w:spacing w:after="0"/>
        <w:numPr>
          <w:ilvl w:val="0"/>
          <w:numId w:val="2"/>
        </w:numPr>
      </w:pPr>
      <w:r>
        <w:rPr/>
        <w:t xml:space="preserve">Graphene analogues applications</w:t>
      </w:r>
    </w:p>
    <w:p>
      <w:pPr>
        <w:spacing w:after="0"/>
        <w:numPr>
          <w:ilvl w:val="0"/>
          <w:numId w:val="2"/>
        </w:numPr>
      </w:pPr>
      <w:r>
        <w:rPr/>
        <w:t xml:space="preserve">Graphane structure</w:t>
      </w:r>
    </w:p>
    <w:p>
      <w:pPr>
        <w:spacing w:after="0"/>
        <w:numPr>
          <w:ilvl w:val="0"/>
          <w:numId w:val="2"/>
        </w:numPr>
      </w:pPr>
      <w:r>
        <w:rPr/>
        <w:t xml:space="preserve">Fluorographene properties</w:t>
      </w:r>
    </w:p>
    <w:p>
      <w:pPr>
        <w:numPr>
          <w:ilvl w:val="0"/>
          <w:numId w:val="2"/>
        </w:numPr>
      </w:pPr>
      <w:r>
        <w:rPr/>
        <w:t xml:space="preserve">Graphol synthesis</w:t>
      </w:r>
    </w:p>
    <w:p>
      <w:pPr>
        <w:pStyle w:val="Heading1"/>
      </w:pPr>
      <w:bookmarkStart w:id="6" w:name="_Toc6"/>
      <w:r>
        <w:t>Report location:</w:t>
      </w:r>
      <w:bookmarkEnd w:id="6"/>
    </w:p>
    <w:p>
      <w:hyperlink r:id="rId8" w:history="1">
        <w:r>
          <w:rPr>
            <w:color w:val="2980b9"/>
            <w:u w:val="single"/>
          </w:rPr>
          <w:t xml:space="preserve">https://www.fullpicture.app/item/5ca014196b54fa83ede8652257c21b54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C5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39/c7cs00215g" TargetMode="External"/><Relationship Id="rId8" Type="http://schemas.openxmlformats.org/officeDocument/2006/relationships/hyperlink" Target="https://www.fullpicture.app/item/5ca014196b54fa83ede8652257c21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2023-02-20T07:59:20+01:00</dcterms:created>
  <dcterms:modified xsi:type="dcterms:W3CDTF">2023-02-20T07:59:20+01:00</dcterms:modified>
</cp:coreProperties>
</file>

<file path=docProps/custom.xml><?xml version="1.0" encoding="utf-8"?>
<Properties xmlns="http://schemas.openxmlformats.org/officeDocument/2006/custom-properties" xmlns:vt="http://schemas.openxmlformats.org/officeDocument/2006/docPropsVTypes"/>
</file>