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Article information:</w:t>
      </w:r>
      <w:bookmarkEnd w:id="1"/>
    </w:p>
    <w:p>
      <w:pPr/>
      <w:r>
        <w:rPr/>
        <w:t xml:space="preserve">模块化IPM机器改进的等效磁网络模型 IEEE 期刊和杂志 | IEEE探索</w:t>
      </w:r>
      <w:br/>
      <w:hyperlink r:id="rId7" w:history="1">
        <w:r>
          <w:rPr>
            <w:color w:val="2980b9"/>
            <w:u w:val="single"/>
          </w:rPr>
          <w:t xml:space="preserve">https://ieeexplore.ieee.org/abstract/document/9698219</w:t>
        </w:r>
      </w:hyperlink>
    </w:p>
    <w:p>
      <w:pPr>
        <w:pStyle w:val="Heading1"/>
      </w:pPr>
      <w:bookmarkStart w:id="2" w:name="_Toc2"/>
      <w:r>
        <w:t>Article summary:</w:t>
      </w:r>
      <w:bookmarkEnd w:id="2"/>
    </w:p>
    <w:p>
      <w:pPr>
        <w:jc w:val="both"/>
      </w:pPr>
      <w:r>
        <w:rPr/>
        <w:t xml:space="preserve">1. 本文开发了一个改进的等效磁网络（EMN）模型，用于分析模块化内置永磁（IPM）机器。该模型考虑了局部磁饱和，并将定子齿冠分为三个部分，使用不同形状的梯形来近似齿尖和中间部分。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2. 文章提出了一种改进的气隙模型，将气隙磁网络分为三层。中间网络使用十字形网格单元来表示切向和径向通量的路径。顶层和底层由定子、转子边缘节点和中间网络节点之间的参数化非线性磁导组成。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3. 通过有限元分析和实验测试的比较，验证了所提出的EMN模型在斜定子电机分析中的准确性和有效性。该模型可以保持结构不变，只需要修改底层的磁导，从而适应机器旋转时的变化。</w:t>
      </w:r>
    </w:p>
    <w:p>
      <w:pPr>
        <w:pStyle w:val="Heading1"/>
      </w:pPr>
      <w:bookmarkStart w:id="3" w:name="_Toc3"/>
      <w:r>
        <w:t>Article rating:</w:t>
      </w:r>
      <w:bookmarkEnd w:id="3"/>
    </w:p>
    <w:p>
      <w:pPr>
        <w:jc w:val="both"/>
      </w:pPr>
      <w:r>
        <w:rPr/>
        <w:t xml:space="preserve">Appears moderately imbalanced: The article provides some useful information, but is missing several important points or pieces of evidence that would be required to present the discussed topics in a balanced and reliable way. You are encouraged to seek a more balanced perspective on the presented issues by exploring the provided research topics and looking at different information sources.</w:t>
      </w:r>
    </w:p>
    <w:p>
      <w:pPr>
        <w:pStyle w:val="Heading1"/>
      </w:pPr>
      <w:bookmarkStart w:id="4" w:name="_Toc4"/>
      <w:r>
        <w:t>Article analysis:</w:t>
      </w:r>
      <w:bookmarkEnd w:id="4"/>
    </w:p>
    <w:p>
      <w:pPr>
        <w:jc w:val="both"/>
      </w:pPr>
      <w:r>
        <w:rPr/>
        <w:t xml:space="preserve">对于上述文章的详细批判性分析，以下是一些可能的观点和问题：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1. 偏见及其来源：文章没有提到任何可能存在的偏见或来源。然而，由于缺乏详细信息，很难确定作者是否有特定的偏见或利益冲突。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2. 片面报道：文章主要关注了改进的等效磁网络模型（EMN）在模块化内置永磁（IPM）机器分析中的应用。然而，文章没有提及其他可能存在的模型或方法，并且没有对比分析结果与其他方法进行比较。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3. 无根据的主张：文章声称所提出的EMN模型在有限元分析和实验测试中验证了其准确性和有效性。然而，文章没有提供具体的数据或结果来支持这些主张。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4. 缺失的考虑点：文章没有讨论可能存在的局限性或假设，并且未提及任何与EMN模型相关的挑战或困难。此外，文章也没有讨论该模型在不同条件下的适用性。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5. 所提出主张的缺失证据：尽管文章声称通过有限元分析和实验测试验证了EMN模型的准确性和有效性，但并未提供具体数据或结果来支持这些主张。因此，读者无法评估该模型的实际性能。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6. 未探索的反驳：文章没有提及任何可能存在的反驳或争议观点，并且没有对这些观点进行讨论或回应。这可能导致读者对该模型的全面性和可靠性产生疑问。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7. 宣传内容和偏袒：文章没有明确提到任何宣传内容或偏袒，但由于缺乏详细信息，很难确定作者是否有特定的倾向或目的。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8. 是否注意到可能的风险：文章未提及任何与所提出模型相关的潜在风险或不确定性。这可能导致读者对该模型的可靠性和适用性产生疑虑。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9. 没有平等地呈现双方：文章只关注了改进的EMN模型，并未探讨其他可能存在的方法或模型。这可能导致读者对整个领域中其他方法和模型的了解不足。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总体而言，上述文章在描述改进的EMN模型在IPM机器分析中的应用时缺乏详细信息和支持数据。此外，文章也没有全面考虑其他方法和模型，并未讨论潜在风险或不确定性。因此，读者需要谨慎评估该模型的可靠性和适用性。</w:t>
      </w:r>
    </w:p>
    <w:p>
      <w:pPr>
        <w:pStyle w:val="Heading1"/>
      </w:pPr>
      <w:bookmarkStart w:id="5" w:name="_Toc5"/>
      <w:r>
        <w:t>Topics for further research:</w:t>
      </w:r>
      <w:bookmarkEnd w:id="5"/>
    </w:p>
    <w:p>
      <w:pPr>
        <w:spacing w:after="0"/>
        <w:numPr>
          <w:ilvl w:val="0"/>
          <w:numId w:val="2"/>
        </w:numPr>
      </w:pPr>
      <w:r>
        <w:rPr/>
        <w:t xml:space="preserve">文章中的偏见及其来源
</w:t>
      </w:r>
    </w:p>
    <w:p>
      <w:pPr>
        <w:spacing w:after="0"/>
        <w:numPr>
          <w:ilvl w:val="0"/>
          <w:numId w:val="2"/>
        </w:numPr>
      </w:pPr>
      <w:r>
        <w:rPr/>
        <w:t xml:space="preserve">文章的片面报道
</w:t>
      </w:r>
    </w:p>
    <w:p>
      <w:pPr>
        <w:spacing w:after="0"/>
        <w:numPr>
          <w:ilvl w:val="0"/>
          <w:numId w:val="2"/>
        </w:numPr>
      </w:pPr>
      <w:r>
        <w:rPr/>
        <w:t xml:space="preserve">文章中无根据的主张
</w:t>
      </w:r>
    </w:p>
    <w:p>
      <w:pPr>
        <w:spacing w:after="0"/>
        <w:numPr>
          <w:ilvl w:val="0"/>
          <w:numId w:val="2"/>
        </w:numPr>
      </w:pPr>
      <w:r>
        <w:rPr/>
        <w:t xml:space="preserve">文章中缺失的考虑点
</w:t>
      </w:r>
    </w:p>
    <w:p>
      <w:pPr>
        <w:spacing w:after="0"/>
        <w:numPr>
          <w:ilvl w:val="0"/>
          <w:numId w:val="2"/>
        </w:numPr>
      </w:pPr>
      <w:r>
        <w:rPr/>
        <w:t xml:space="preserve">文章中所提出主张的缺失证据
</w:t>
      </w:r>
    </w:p>
    <w:p>
      <w:pPr>
        <w:spacing w:after="0"/>
        <w:numPr>
          <w:ilvl w:val="0"/>
          <w:numId w:val="2"/>
        </w:numPr>
      </w:pPr>
      <w:r>
        <w:rPr/>
        <w:t xml:space="preserve">文章中未探索的反驳
</w:t>
      </w:r>
    </w:p>
    <w:p>
      <w:pPr>
        <w:spacing w:after="0"/>
        <w:numPr>
          <w:ilvl w:val="0"/>
          <w:numId w:val="2"/>
        </w:numPr>
      </w:pPr>
      <w:r>
        <w:rPr/>
        <w:t xml:space="preserve">文章中的宣传内容和偏袒
</w:t>
      </w:r>
    </w:p>
    <w:p>
      <w:pPr>
        <w:spacing w:after="0"/>
        <w:numPr>
          <w:ilvl w:val="0"/>
          <w:numId w:val="2"/>
        </w:numPr>
      </w:pPr>
      <w:r>
        <w:rPr/>
        <w:t xml:space="preserve">文章中是否注意到可能的风险
</w:t>
      </w:r>
    </w:p>
    <w:p>
      <w:pPr>
        <w:numPr>
          <w:ilvl w:val="0"/>
          <w:numId w:val="2"/>
        </w:numPr>
      </w:pPr>
      <w:r>
        <w:rPr/>
        <w:t xml:space="preserve">文章中没有平等地呈现双方的观点</w:t>
      </w:r>
    </w:p>
    <w:p>
      <w:pPr>
        <w:pStyle w:val="Heading1"/>
      </w:pPr>
      <w:bookmarkStart w:id="6" w:name="_Toc6"/>
      <w:r>
        <w:t>Report location:</w:t>
      </w:r>
      <w:bookmarkEnd w:id="6"/>
    </w:p>
    <w:p>
      <w:hyperlink r:id="rId8" w:history="1">
        <w:r>
          <w:rPr>
            <w:color w:val="2980b9"/>
            <w:u w:val="single"/>
          </w:rPr>
          <w:t xml:space="preserve">https://www.fullpicture.app/item/5cd6cd9a1065d2651ddda9149c8b9ed2</w:t>
        </w:r>
      </w:hyperlink>
    </w:p>
    <w:sectPr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Bdr>
        <w:top w:val="single" w:sz="4"/>
      </w:pBdr>
    </w:pPr>
    <w:r>
      <w:rPr/>
      <w:t xml:space="preserve">Report created by </w:t>
    </w:r>
    <w:hyperlink r:id="rId1" w:history="1">
      <w:r>
        <w:rPr>
          <w:color w:val="2980b9"/>
          <w:u w:val="single"/>
        </w:rPr>
        <w:t xml:space="preserve">FullPicture.app</w:t>
      </w:r>
    </w:hyperlink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CD234656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ieeexplore.ieee.org/abstract/document/9698219" TargetMode="External"/><Relationship Id="rId8" Type="http://schemas.openxmlformats.org/officeDocument/2006/relationships/hyperlink" Target="https://www.fullpicture.app/item/5cd6cd9a1065d2651ddda9149c8b9ed2" TargetMode="Externa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fullpicture.ap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2023-12-28T20:59:09+01:00</dcterms:created>
  <dcterms:modified xsi:type="dcterms:W3CDTF">2023-12-28T20:59:09+01:00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