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WHO Guidelines and the Critical Role of Immunohistochemical Markers in the Subclassification of Non-Small Cell Lung Carcinoma (NSCLC). Moving from Targeted Therapy to Immunotherapy - PMC</w:t>
      </w:r>
      <w:br/>
      <w:hyperlink r:id="rId7" w:history="1">
        <w:r>
          <w:rPr>
            <w:color w:val="2980b9"/>
            <w:u w:val="single"/>
          </w:rPr>
          <w:t xml:space="preserve">https://www.ncbi.nlm.nih.gov/pmc/articles/PMC5970946/</w:t>
        </w:r>
      </w:hyperlink>
    </w:p>
    <w:p>
      <w:pPr>
        <w:pStyle w:val="Heading1"/>
      </w:pPr>
      <w:bookmarkStart w:id="2" w:name="_Toc2"/>
      <w:r>
        <w:t>Article summary:</w:t>
      </w:r>
      <w:bookmarkEnd w:id="2"/>
    </w:p>
    <w:p>
      <w:pPr>
        <w:jc w:val="both"/>
      </w:pPr>
      <w:r>
        <w:rPr/>
        <w:t xml:space="preserve">1. The World Health Organization (WHO) and the International Association for the Study of Lung Cancer (IASLC) updated their guidelines for the subclassification of lung cancers in 2015, emphasizing the importance of accurately classifying non-small cell lung carcinoma (NSCLC) using molecular characterization and immunohistochemical (IHC) markers.</w:t>
      </w:r>
    </w:p>
    <w:p>
      <w:pPr>
        <w:jc w:val="both"/>
      </w:pPr>
      <w:r>
        <w:rPr/>
        <w:t xml:space="preserve"/>
      </w:r>
    </w:p>
    <w:p>
      <w:pPr>
        <w:jc w:val="both"/>
      </w:pPr>
      <w:r>
        <w:rPr/>
        <w:t xml:space="preserve">2. Recent large-scale genomic studies have identified different driver gene mutations in NSCLC subtypes, leading to significant advancements in targeted therapies for lung cancer patients. These targeted therapies, such as tyrosine kinase inhibitors (TKIs), have improved clinical outcomes for patients with specific genetic alterations.</w:t>
      </w:r>
    </w:p>
    <w:p>
      <w:pPr>
        <w:jc w:val="both"/>
      </w:pPr>
      <w:r>
        <w:rPr/>
        <w:t xml:space="preserve"/>
      </w:r>
    </w:p>
    <w:p>
      <w:pPr>
        <w:jc w:val="both"/>
      </w:pPr>
      <w:r>
        <w:rPr/>
        <w:t xml:space="preserve">3. The advancement and clinical application of immunotherapy have further highlighted the need for accurate subclassification of NSCLC. Immunomarkers, detected through IHC, play a critical role in diagnosing and subclassifying lung cancer, as well as guiding treatment decisions. However, there are limitations to the utility of immunomarkers, and further research is needed to improve their effectiveness.</w:t>
      </w:r>
    </w:p>
    <w:p>
      <w:pPr>
        <w:jc w:val="both"/>
      </w:pPr>
      <w:r>
        <w:rPr/>
        <w:t xml:space="preserve"/>
      </w:r>
    </w:p>
    <w:p>
      <w:pPr>
        <w:jc w:val="both"/>
      </w:pPr>
      <w:r>
        <w:rPr/>
        <w:t xml:space="preserve">Overall, this article discusses the current WHO guidelines for NSCLC classification, advancements in targeted therapy and immunotherapy, and the role of IHC markers in accurately subclassifying NSCLC.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这篇文章主要讨论了非小细胞肺癌（NSCLC）的分类和治疗方法。然而，文章存在一些潜在的偏见和问题。</w:t>
      </w:r>
    </w:p>
    <w:p>
      <w:pPr>
        <w:jc w:val="both"/>
      </w:pPr>
      <w:r>
        <w:rPr/>
        <w:t xml:space="preserve"/>
      </w:r>
    </w:p>
    <w:p>
      <w:pPr>
        <w:jc w:val="both"/>
      </w:pPr>
      <w:r>
        <w:rPr/>
        <w:t xml:space="preserve">首先，文章提到了临床肺癌基因组计划的大规模基因组研究发现了NSCLC亚型中不同的驱动基因突变。然而，文章没有提及这些研究是否具有代表性，并且没有提供任何相关数据或引用来支持这些发现。</w:t>
      </w:r>
    </w:p>
    <w:p>
      <w:pPr>
        <w:jc w:val="both"/>
      </w:pPr>
      <w:r>
        <w:rPr/>
        <w:t xml:space="preserve"/>
      </w:r>
    </w:p>
    <w:p>
      <w:pPr>
        <w:jc w:val="both"/>
      </w:pPr>
      <w:r>
        <w:rPr/>
        <w:t xml:space="preserve">其次，文章强调了靶向治疗和免疫治疗在NSCLC治疗中的重要性。然而，它没有提供任何关于这些治疗方法的具体信息或证据来支持其主张。此外，文章没有探讨靶向治疗和免疫治疗的潜在风险或副作用。</w:t>
      </w:r>
    </w:p>
    <w:p>
      <w:pPr>
        <w:jc w:val="both"/>
      </w:pPr>
      <w:r>
        <w:rPr/>
        <w:t xml:space="preserve"/>
      </w:r>
    </w:p>
    <w:p>
      <w:pPr>
        <w:jc w:val="both"/>
      </w:pPr>
      <w:r>
        <w:rPr/>
        <w:t xml:space="preserve">此外，文章还提到了世界卫生组织（WHO）和国际肺癌学会（IASLC）更新的肺癌分类指南。然而，它没有详细介绍这些指南的内容，并且没有提供任何相关数据或引用来支持其对这些指南的评价。</w:t>
      </w:r>
    </w:p>
    <w:p>
      <w:pPr>
        <w:jc w:val="both"/>
      </w:pPr>
      <w:r>
        <w:rPr/>
        <w:t xml:space="preserve"/>
      </w:r>
    </w:p>
    <w:p>
      <w:pPr>
        <w:jc w:val="both"/>
      </w:pPr>
      <w:r>
        <w:rPr/>
        <w:t xml:space="preserve">最后，尽管文章提到了免疫组化标记物在NSCLC分类中的重要作用，但它没有提供任何具体的信息或证据来支持这一观点。此外，文章没有探讨免疫组化标记物在NSCLC分类中的局限性和挑战。</w:t>
      </w:r>
    </w:p>
    <w:p>
      <w:pPr>
        <w:jc w:val="both"/>
      </w:pPr>
      <w:r>
        <w:rPr/>
        <w:t xml:space="preserve"/>
      </w:r>
    </w:p>
    <w:p>
      <w:pPr>
        <w:jc w:val="both"/>
      </w:pPr>
      <w:r>
        <w:rPr/>
        <w:t xml:space="preserve">总的来说，这篇文章存在一些潜在的偏见和问题，包括缺乏具体数据和证据来支持其主张，以及对相关研究和指南的不准确描述。因此，读者应该对这篇文章中提出的观点保持谨慎，并寻找更多可靠的来源来获取关于NSCLC分类和治疗方法的信息。</w:t>
      </w:r>
    </w:p>
    <w:p>
      <w:pPr>
        <w:pStyle w:val="Heading1"/>
      </w:pPr>
      <w:bookmarkStart w:id="5" w:name="_Toc5"/>
      <w:r>
        <w:t>Topics for further research:</w:t>
      </w:r>
      <w:bookmarkEnd w:id="5"/>
    </w:p>
    <w:p>
      <w:pPr>
        <w:spacing w:after="0"/>
        <w:numPr>
          <w:ilvl w:val="0"/>
          <w:numId w:val="2"/>
        </w:numPr>
      </w:pPr>
      <w:r>
        <w:rPr/>
        <w:t xml:space="preserve">临床肺癌基因组计划的研究代表性和相关数据
</w:t>
      </w:r>
    </w:p>
    <w:p>
      <w:pPr>
        <w:spacing w:after="0"/>
        <w:numPr>
          <w:ilvl w:val="0"/>
          <w:numId w:val="2"/>
        </w:numPr>
      </w:pPr>
      <w:r>
        <w:rPr/>
        <w:t xml:space="preserve">靶向治疗和免疫治疗的具体信息和证据
</w:t>
      </w:r>
    </w:p>
    <w:p>
      <w:pPr>
        <w:spacing w:after="0"/>
        <w:numPr>
          <w:ilvl w:val="0"/>
          <w:numId w:val="2"/>
        </w:numPr>
      </w:pPr>
      <w:r>
        <w:rPr/>
        <w:t xml:space="preserve">靶向治疗和免疫治疗的潜在风险和副作用
</w:t>
      </w:r>
    </w:p>
    <w:p>
      <w:pPr>
        <w:spacing w:after="0"/>
        <w:numPr>
          <w:ilvl w:val="0"/>
          <w:numId w:val="2"/>
        </w:numPr>
      </w:pPr>
      <w:r>
        <w:rPr/>
        <w:t xml:space="preserve">世界卫生组织和国际肺癌学会更新的肺癌分类指南的内容和相关数据
</w:t>
      </w:r>
    </w:p>
    <w:p>
      <w:pPr>
        <w:spacing w:after="0"/>
        <w:numPr>
          <w:ilvl w:val="0"/>
          <w:numId w:val="2"/>
        </w:numPr>
      </w:pPr>
      <w:r>
        <w:rPr/>
        <w:t xml:space="preserve">免疫组化标记物在NSCLC分类中的具体作用和证据
</w:t>
      </w:r>
    </w:p>
    <w:p>
      <w:pPr>
        <w:numPr>
          <w:ilvl w:val="0"/>
          <w:numId w:val="2"/>
        </w:numPr>
      </w:pPr>
      <w:r>
        <w:rPr/>
        <w:t xml:space="preserve">免疫组化标记物在NSCLC分类中的局限性和挑战</w:t>
      </w:r>
    </w:p>
    <w:p>
      <w:pPr>
        <w:pStyle w:val="Heading1"/>
      </w:pPr>
      <w:bookmarkStart w:id="6" w:name="_Toc6"/>
      <w:r>
        <w:t>Report location:</w:t>
      </w:r>
      <w:bookmarkEnd w:id="6"/>
    </w:p>
    <w:p>
      <w:hyperlink r:id="rId8" w:history="1">
        <w:r>
          <w:rPr>
            <w:color w:val="2980b9"/>
            <w:u w:val="single"/>
          </w:rPr>
          <w:t xml:space="preserve">https://www.fullpicture.app/item/5ce038487eba21c26e096e2bd2a6ed29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5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70946/" TargetMode="External"/><Relationship Id="rId8" Type="http://schemas.openxmlformats.org/officeDocument/2006/relationships/hyperlink" Target="https://www.fullpicture.app/item/5ce038487eba21c26e096e2bd2a6e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2024-02-15T22:21:05+01:00</dcterms:created>
  <dcterms:modified xsi:type="dcterms:W3CDTF">2024-02-15T22:21:05+01:00</dcterms:modified>
</cp:coreProperties>
</file>

<file path=docProps/custom.xml><?xml version="1.0" encoding="utf-8"?>
<Properties xmlns="http://schemas.openxmlformats.org/officeDocument/2006/custom-properties" xmlns:vt="http://schemas.openxmlformats.org/officeDocument/2006/docPropsVTypes"/>
</file>