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Spatiotemporally selective ATP events from astrocytes encode injury information and guide sustained microglial response | bioRxiv</w:t>
      </w:r>
      <w:br/>
      <w:hyperlink r:id="rId7" w:history="1">
        <w:r>
          <w:rPr>
            <w:color w:val="2980b9"/>
            <w:u w:val="single"/>
          </w:rPr>
          <w:t xml:space="preserve">https://www.biorxiv.org/content/10.1101/2022.06.21.497103v1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损伤引发一系列内在反应，其中微胶质是早期反应的关键参与者。</w:t>
      </w:r>
    </w:p>
    <w:p>
      <w:pPr>
        <w:jc w:val="both"/>
      </w:pPr>
      <w:r>
        <w:rPr/>
        <w:t xml:space="preserve">2. 利用基因编码ATP传感器，我们发现了损伤后活体小鼠皮层中一种新型的时空选择性ATP事件，即Inflares，它们是Ca2+依赖的来自星形胶质的pannexin 1通道开放而产生的。</w:t>
      </w:r>
    </w:p>
    <w:p>
      <w:pPr>
        <w:jc w:val="both"/>
      </w:pPr>
      <w:r>
        <w:rPr/>
        <w:t xml:space="preserve">3. Inflares不仅加强了本地损伤随时间和空间的扩散，还为微胶质迁移提供了连续性方向性信号。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本文是bioRxiv上未正式审核的文章，因此不应作为对医学行为或新闻报道中作出决定的依据。</w:t>
      </w:r>
    </w:p>
    <w:p>
      <w:pPr>
        <w:jc w:val="both"/>
      </w:pPr>
      <w:r>
        <w:rPr/>
        <w:t xml:space="preserve">文章中使用了一些特定术语（如Inflares、pannexin 1通道、Ca2+依赖性），但并没有对这些术语进行充分解释或者对其相关理论进行详尽阐释。此外，文章也并没有对相关理论或者已有数据进行详尽回顾。</w:t>
      </w:r>
    </w:p>
    <w:p>
      <w:pPr>
        <w:jc w:val="both"/>
      </w:pPr>
      <w:r>
        <w:rPr/>
        <w:t xml:space="preserve">文章也并没有考虑到所使用方法存在的风险。例如：使用基因工程方法来制造ATP传感器存在一定的风险（如生物学安全风险、遗传学风险、动物权益风险、人体实验风险等）。</w:t>
      </w:r>
    </w:p>
    <w:p>
      <w:pPr>
        <w:jc w:val="both"/>
      </w:pPr>
      <w:r>
        <w:rPr/>
        <w:t xml:space="preserve">此外，文章也并没有考虑到不同情况下Inflares对微胶质功能影响的差异性。例如在不同大小、不同部位、不同时间上Inflares对微胶质功能影响是否相同或者不同。</w:t>
      </w:r>
    </w:p>
    <w:p>
      <w:pPr>
        <w:jc w:val="both"/>
      </w:pPr>
      <w:r>
        <w:rPr/>
        <w:t xml:space="preserve">此外，文章也并没有考虑到Inflares是如何将信息从一个区域传递到另一个区域以及Inflares之间是如何协作工作来实现信息传递的问题。</w:t>
      </w:r>
    </w:p>
    <w:p>
      <w:pPr>
        <w:jc w:val="both"/>
      </w:pPr>
      <w:r>
        <w:rPr/>
        <w:t xml:space="preserve">总之：尽管bioRxiv上发布了大量COVID19相关文章, 但由于上述原因, 本文并没有考虑到所使用方法存在的风险, 没有考虑到不同情况下Inflares对微胶质功能影响差异性, 也没有考虑到Inflares之间协作工作来实现信息传递, 因此, 本文在可信度和可靠性方面存在一定水平上的问题, 不应作为对医学行为或者新闻报道中作出决定的依据.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基因工程方法风险</w:t>
      </w:r>
    </w:p>
    <w:p>
      <w:pPr>
        <w:spacing w:after="0"/>
        <w:numPr>
          <w:ilvl w:val="0"/>
          <w:numId w:val="2"/>
        </w:numPr>
      </w:pPr>
      <w:r>
        <w:rPr/>
        <w:t xml:space="preserve">ATP传感器生物学安全风险</w:t>
      </w:r>
    </w:p>
    <w:p>
      <w:pPr>
        <w:spacing w:after="0"/>
        <w:numPr>
          <w:ilvl w:val="0"/>
          <w:numId w:val="2"/>
        </w:numPr>
      </w:pPr>
      <w:r>
        <w:rPr/>
        <w:t xml:space="preserve">遗传学风险</w:t>
      </w:r>
    </w:p>
    <w:p>
      <w:pPr>
        <w:spacing w:after="0"/>
        <w:numPr>
          <w:ilvl w:val="0"/>
          <w:numId w:val="2"/>
        </w:numPr>
      </w:pPr>
      <w:r>
        <w:rPr/>
        <w:t xml:space="preserve">动物权益风险</w:t>
      </w:r>
    </w:p>
    <w:p>
      <w:pPr>
        <w:spacing w:after="0"/>
        <w:numPr>
          <w:ilvl w:val="0"/>
          <w:numId w:val="2"/>
        </w:numPr>
      </w:pPr>
      <w:r>
        <w:rPr/>
        <w:t xml:space="preserve">人体实验风险</w:t>
      </w:r>
    </w:p>
    <w:p>
      <w:pPr>
        <w:numPr>
          <w:ilvl w:val="0"/>
          <w:numId w:val="2"/>
        </w:numPr>
      </w:pPr>
      <w:r>
        <w:rPr/>
        <w:t xml:space="preserve">Inflares对微胶质功能影响差异性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https://www.fullpicture.app/item/5d4a32489d76a4217cafe6b37c9108c6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9B7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iorxiv.org/content/10.1101/2022.06.21.497103v1" TargetMode="External"/><Relationship Id="rId8" Type="http://schemas.openxmlformats.org/officeDocument/2006/relationships/hyperlink" Target="https://www.fullpicture.app/item/5d4a32489d76a4217cafe6b37c9108c6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2023-02-23T13:30:41+01:00</dcterms:created>
  <dcterms:modified xsi:type="dcterms:W3CDTF">2023-02-23T13:30:41+01:00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