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基于生命周期评价的化工建材类产品碳足迹分析 - 中国知网</w:t></w:r><w:br/><w:hyperlink r:id="rId7" w:history="1"><w:r><w:rPr><w:color w:val="2980b9"/><w:u w:val="single"/></w:rPr><w:t xml:space="preserve">https://kns.cnki.net/kcms2/article/abstract?v=3uoqIhG8C475KOm_zrgu4lQARvep2SAkWfZcByc-RON98J6vxPv10WTlv_vRYYq54Kqp4RH83AD2J9BbFP5fh1MTms47Ubk5&uniplatform=NZKPT</w:t></w:r></w:hyperlink></w:p><w:p><w:pPr><w:pStyle w:val="Heading1"/></w:pPr><w:bookmarkStart w:id="2" w:name="_Toc2"/><w:r><w:t>Article summary:</w:t></w:r><w:bookmarkEnd w:id="2"/></w:p><w:p><w:pPr><w:jc w:val="both"/></w:pPr><w:r><w:rPr/><w:t xml:space="preserve">1. This paper constructs a carbon footprint evaluation model of chemical building materials products, taking coating products as an example.</w:t></w:r></w:p><w:p><w:pPr><w:jc w:val="both"/></w:pPr><w:r><w:rPr/><w:t xml:space="preserve">2. Sensitivity analysis is carried out on the carbon footprint calculation results to find out the key links and key data in the product carbon footprint assessment.</w:t></w:r></w:p><w:p><w:pPr><w:jc w:val="both"/></w:pPr><w:r><w:rPr/><w:t xml:space="preserve">3. Measures to realize low-carbon production, energy saving and emission reduction of chemical building materials are discussed based on the evaluation results of carbon footprint.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life cycle assessment of chemical building materials products with regards to their carbon footprints. The article also provides detailed information on the data collection process and sensitivity analysis conducted for the evaluation model, which adds credibility to its findings. Furthermore, it presents potential measures for low-carbon production, energy saving and emission reduction of chemical building materials based on its findings.</w:t></w:r></w:p><w:p><w:pPr><w:jc w:val="both"/></w:pPr><w:r><w:rPr/><w:t xml:space="preserve">However, there are some points that could be improved upon in terms of trustworthiness and reliability. For instance, while the article does provide a comprehensive overview of the life cycle assessment process, it does not explore any counterarguments or alternative perspectives that may exist regarding this topic. Additionally, while it does discuss potential measures for low-carbon production and emission reduction, it does not provide any evidence or research to support these claims. Finally, while it does discuss data quality index method for analyzing primary activity level data and secondary data in the life cycle inventory, it does not provide any details on how this method was applied or what criteria were used to assess data quality levels.</w:t></w:r></w:p><w:p><w:pPr><w:pStyle w:val="Heading1"/></w:pPr><w:bookmarkStart w:id="5" w:name="_Toc5"/><w:r><w:t>Topics for further research:</w:t></w:r><w:bookmarkEnd w:id="5"/></w:p><w:p><w:pPr><w:spacing w:after="0"/><w:numPr><w:ilvl w:val="0"/><w:numId w:val="2"/></w:numPr></w:pPr><w:r><w:rPr/><w:t xml:space="preserve">Life cycle assessment counterarguments</w:t></w:r></w:p><w:p><w:pPr><w:spacing w:after="0"/><w:numPr><w:ilvl w:val="0"/><w:numId w:val="2"/></w:numPr></w:pPr><w:r><w:rPr/><w:t xml:space="preserve">Low-carbon production evidence</w:t></w:r></w:p><w:p><w:pPr><w:spacing w:after="0"/><w:numPr><w:ilvl w:val="0"/><w:numId w:val="2"/></w:numPr></w:pPr><w:r><w:rPr/><w:t xml:space="preserve">Data quality index method criteria</w:t></w:r></w:p><w:p><w:pPr><w:spacing w:after="0"/><w:numPr><w:ilvl w:val="0"/><w:numId w:val="2"/></w:numPr></w:pPr><w:r><w:rPr/><w:t xml:space="preserve">Life cycle inventory primary activity level data</w:t></w:r></w:p><w:p><w:pPr><w:spacing w:after="0"/><w:numPr><w:ilvl w:val="0"/><w:numId w:val="2"/></w:numPr></w:pPr><w:r><w:rPr/><w:t xml:space="preserve">Secondary data analysis techniques</w:t></w:r></w:p><w:p><w:pPr><w:numPr><w:ilvl w:val="0"/><w:numId w:val="2"/></w:numPr></w:pPr><w:r><w:rPr/><w:t xml:space="preserve">Emission reduction measures research</w:t></w:r></w:p><w:p><w:pPr><w:pStyle w:val="Heading1"/></w:pPr><w:bookmarkStart w:id="6" w:name="_Toc6"/><w:r><w:t>Report location:</w:t></w:r><w:bookmarkEnd w:id="6"/></w:p><w:p><w:hyperlink r:id="rId8" w:history="1"><w:r><w:rPr><w:color w:val="2980b9"/><w:u w:val="single"/></w:rPr><w:t xml:space="preserve">https://www.fullpicture.app/item/5e02d221a93e39bb6dc98facdd69dbc7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127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WfZcByc-RON98J6vxPv10WTlv_vRYYq54Kqp4RH83AD2J9BbFP5fh1MTms47Ubk5&amp;uniplatform=NZKPT" TargetMode="External"/><Relationship Id="rId8" Type="http://schemas.openxmlformats.org/officeDocument/2006/relationships/hyperlink" Target="https://www.fullpicture.app/item/5e02d221a93e39bb6dc98facdd69db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2023-02-27T09:11:22+01:00</dcterms:created>
  <dcterms:modified xsi:type="dcterms:W3CDTF">2023-02-27T09:11:22+01:00</dcterms:modified>
</cp:coreProperties>
</file>

<file path=docProps/custom.xml><?xml version="1.0" encoding="utf-8"?>
<Properties xmlns="http://schemas.openxmlformats.org/officeDocument/2006/custom-properties" xmlns:vt="http://schemas.openxmlformats.org/officeDocument/2006/docPropsVTypes"/>
</file>