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confined-etching strategy for intrinsic anisotropic surface wetting patterning | Nature Communications</w:t>
      </w:r>
      <w:br/>
      <w:hyperlink r:id="rId7" w:history="1">
        <w:r>
          <w:rPr>
            <w:color w:val="2980b9"/>
            <w:u w:val="single"/>
          </w:rPr>
          <w:t xml:space="preserve">https://www.nature.com/articles/s41467-022-30832-4</w:t>
        </w:r>
      </w:hyperlink>
    </w:p>
    <w:p>
      <w:pPr>
        <w:pStyle w:val="Heading1"/>
      </w:pPr>
      <w:bookmarkStart w:id="2" w:name="_Toc2"/>
      <w:r>
        <w:t>Article summary:</w:t>
      </w:r>
      <w:bookmarkEnd w:id="2"/>
    </w:p>
    <w:p>
      <w:pPr>
        <w:jc w:val="both"/>
      </w:pPr>
      <w:r>
        <w:rPr/>
        <w:t xml:space="preserve">1. Natural patterns often have anisotropic wettability, which has been used to create artificial patterns with potential applications in various fields.</w:t>
      </w:r>
    </w:p>
    <w:p>
      <w:pPr>
        <w:jc w:val="both"/>
      </w:pPr>
      <w:r>
        <w:rPr/>
        <w:t xml:space="preserve">2. Various methods have been used to fabricate asymmetric wettable patterns, but they are expensive and complex.</w:t>
      </w:r>
    </w:p>
    <w:p>
      <w:pPr>
        <w:jc w:val="both"/>
      </w:pPr>
      <w:r>
        <w:rPr/>
        <w:t xml:space="preserve">3. This article presents a new method of mask-free etching for accurate surface patterning by controlling the confined decomposition of material surfaces.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a detailed description of the research conducted and its results. The authors provide evidence for their claims in the form of references to previous studies and experiments conducted by other researchers. Furthermore, the authors discuss potential applications of their findings in various fields, such as cell arrays, biosensors, fog harvesting, printing technology, droplet manipulation and optoelectronics. </w:t>
      </w:r>
    </w:p>
    <w:p>
      <w:pPr>
        <w:jc w:val="both"/>
      </w:pPr>
      <w:r>
        <w:rPr/>
        <w:t xml:space="preserve">The article does not appear to be biased or one-sided; rather, it presents both sides of the argument equally and objectively. The authors acknowledge that there are limitations to existing methods for creating asymmetric wettable patterns and present their own method as an alternative solution. They also discuss possible risks associated with their method (e.g., exposure of the ink track). </w:t>
      </w:r>
    </w:p>
    <w:p>
      <w:pPr>
        <w:jc w:val="both"/>
      </w:pPr>
      <w:r>
        <w:rPr/>
        <w:t xml:space="preserve">The only potential issue with this article is that it does not explore any counterarguments or alternative solutions to the problem at hand. While this is understandable given the scope of the article, it would have been beneficial if the authors had discussed some other possible solutions or approaches that could be taken when creating asymmetric wettable patterns.</w:t>
      </w:r>
    </w:p>
    <w:p>
      <w:pPr>
        <w:pStyle w:val="Heading1"/>
      </w:pPr>
      <w:bookmarkStart w:id="5" w:name="_Toc5"/>
      <w:r>
        <w:t>Topics for further research:</w:t>
      </w:r>
      <w:bookmarkEnd w:id="5"/>
    </w:p>
    <w:p>
      <w:pPr>
        <w:spacing w:after="0"/>
        <w:numPr>
          <w:ilvl w:val="0"/>
          <w:numId w:val="2"/>
        </w:numPr>
      </w:pPr>
      <w:r>
        <w:rPr/>
        <w:t xml:space="preserve">Asymmetric wettability</w:t>
      </w:r>
    </w:p>
    <w:p>
      <w:pPr>
        <w:spacing w:after="0"/>
        <w:numPr>
          <w:ilvl w:val="0"/>
          <w:numId w:val="2"/>
        </w:numPr>
      </w:pPr>
      <w:r>
        <w:rPr/>
        <w:t xml:space="preserve">Droplet manipulation</w:t>
      </w:r>
    </w:p>
    <w:p>
      <w:pPr>
        <w:spacing w:after="0"/>
        <w:numPr>
          <w:ilvl w:val="0"/>
          <w:numId w:val="2"/>
        </w:numPr>
      </w:pPr>
      <w:r>
        <w:rPr/>
        <w:t xml:space="preserve">Ink track exposure</w:t>
      </w:r>
    </w:p>
    <w:p>
      <w:pPr>
        <w:spacing w:after="0"/>
        <w:numPr>
          <w:ilvl w:val="0"/>
          <w:numId w:val="2"/>
        </w:numPr>
      </w:pPr>
      <w:r>
        <w:rPr/>
        <w:t xml:space="preserve">Fog harvesting</w:t>
      </w:r>
    </w:p>
    <w:p>
      <w:pPr>
        <w:spacing w:after="0"/>
        <w:numPr>
          <w:ilvl w:val="0"/>
          <w:numId w:val="2"/>
        </w:numPr>
      </w:pPr>
      <w:r>
        <w:rPr/>
        <w:t xml:space="preserve">Optoelectronics</w:t>
      </w:r>
    </w:p>
    <w:p>
      <w:pPr>
        <w:numPr>
          <w:ilvl w:val="0"/>
          <w:numId w:val="2"/>
        </w:numPr>
      </w:pPr>
      <w:r>
        <w:rPr/>
        <w:t xml:space="preserve">Printing technology applications</w:t>
      </w:r>
    </w:p>
    <w:p>
      <w:pPr>
        <w:pStyle w:val="Heading1"/>
      </w:pPr>
      <w:bookmarkStart w:id="6" w:name="_Toc6"/>
      <w:r>
        <w:t>Report location:</w:t>
      </w:r>
      <w:bookmarkEnd w:id="6"/>
    </w:p>
    <w:p>
      <w:hyperlink r:id="rId8" w:history="1">
        <w:r>
          <w:rPr>
            <w:color w:val="2980b9"/>
            <w:u w:val="single"/>
          </w:rPr>
          <w:t xml:space="preserve">https://www.fullpicture.app/item/5e2a594fc215cd22395d66354ea0b021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C21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2-30832-4" TargetMode="External"/><Relationship Id="rId8" Type="http://schemas.openxmlformats.org/officeDocument/2006/relationships/hyperlink" Target="https://www.fullpicture.app/item/5e2a594fc215cd22395d66354ea0b0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2023-03-08T06:08:54+01:00</dcterms:created>
  <dcterms:modified xsi:type="dcterms:W3CDTF">2023-03-08T06:08:54+01:00</dcterms:modified>
</cp:coreProperties>
</file>

<file path=docProps/custom.xml><?xml version="1.0" encoding="utf-8"?>
<Properties xmlns="http://schemas.openxmlformats.org/officeDocument/2006/custom-properties" xmlns:vt="http://schemas.openxmlformats.org/officeDocument/2006/docPropsVTypes"/>
</file>