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需要持续肾脏替代治疗的 COVID-19 患者的抗凝治疗 - PMC</w:t>
      </w:r>
      <w:br/>
      <w:hyperlink r:id="rId7" w:history="1">
        <w:r>
          <w:rPr>
            <w:color w:val="2980b9"/>
            <w:u w:val="single"/>
          </w:rPr>
          <w:t xml:space="preserve">https://www.ncbi.nlm.nih.gov/pmc/articles/PMC7972825/</w:t>
        </w:r>
      </w:hyperlink>
    </w:p>
    <w:p>
      <w:pPr>
        <w:pStyle w:val="Heading1"/>
      </w:pPr>
      <w:bookmarkStart w:id="2" w:name="_Toc2"/>
      <w:r>
        <w:t>Article summary:</w:t>
      </w:r>
      <w:bookmarkEnd w:id="2"/>
    </w:p>
    <w:p>
      <w:pPr>
        <w:jc w:val="both"/>
      </w:pPr>
      <w:r>
        <w:rPr/>
        <w:t xml:space="preserve">1. SARS-CoV-2感染患者中需要持续肾脏替代治疗的急性肾损伤发生率显著增加。</w:t>
      </w:r>
    </w:p>
    <w:p>
      <w:pPr>
        <w:jc w:val="both"/>
      </w:pPr>
      <w:r>
        <w:rPr/>
        <w:t xml:space="preserve">2. SARS-CoV-2感染患者因高凝状态而发生全身性血栓形成的风险增加，可能导致血栓栓塞事件。</w:t>
      </w:r>
    </w:p>
    <w:p>
      <w:pPr>
        <w:jc w:val="both"/>
      </w:pPr>
      <w:r>
        <w:rPr/>
        <w:t xml:space="preserve">3. 抗凝治疗对于维持体外循环通畅至关重要，需要在SARS-CoV-2患者中使用比平时更高剂量的抗凝治疗。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这篇文章主要讨论了COVID-19患者在接受持续肾脏替代治疗时的抗凝治疗问题。然而，文章存在一些潜在的偏见和不足之处。</w:t>
      </w:r>
    </w:p>
    <w:p>
      <w:pPr>
        <w:jc w:val="both"/>
      </w:pPr>
      <w:r>
        <w:rPr/>
        <w:t xml:space="preserve"/>
      </w:r>
    </w:p>
    <w:p>
      <w:pPr>
        <w:jc w:val="both"/>
      </w:pPr>
      <w:r>
        <w:rPr/>
        <w:t xml:space="preserve">首先，文章没有提供足够的数据来支持其主张。虽然作者声称进行了回顾性分析，但并未提供具体的数据和统计结果。缺乏详细的数据使读者难以评估作者所得出结论的可靠性和普适性。</w:t>
      </w:r>
    </w:p>
    <w:p>
      <w:pPr>
        <w:jc w:val="both"/>
      </w:pPr>
      <w:r>
        <w:rPr/>
        <w:t xml:space="preserve"/>
      </w:r>
    </w:p>
    <w:p>
      <w:pPr>
        <w:jc w:val="both"/>
      </w:pPr>
      <w:r>
        <w:rPr/>
        <w:t xml:space="preserve">其次，文章没有充分探讨可能存在的风险和副作用。抗凝治疗可能导致出血等不良反应，特别是对于COVID-19患者这样已经处于高凝状态的人群来说更为重要。然而，文章未对这些风险进行深入讨论或提供相应的对策。</w:t>
      </w:r>
    </w:p>
    <w:p>
      <w:pPr>
        <w:jc w:val="both"/>
      </w:pPr>
      <w:r>
        <w:rPr/>
        <w:t xml:space="preserve"/>
      </w:r>
    </w:p>
    <w:p>
      <w:pPr>
        <w:jc w:val="both"/>
      </w:pPr>
      <w:r>
        <w:rPr/>
        <w:t xml:space="preserve">此外，文章没有平等地呈现双方观点。它只关注了抗凝治疗对维持体外循环通畅的重要性，并未探讨是否有其他替代方法可以达到相同效果或是否有其他因素需要考虑。</w:t>
      </w:r>
    </w:p>
    <w:p>
      <w:pPr>
        <w:jc w:val="both"/>
      </w:pPr>
      <w:r>
        <w:rPr/>
        <w:t xml:space="preserve"/>
      </w:r>
    </w:p>
    <w:p>
      <w:pPr>
        <w:jc w:val="both"/>
      </w:pPr>
      <w:r>
        <w:rPr/>
        <w:t xml:space="preserve">最后，文章缺乏对相关文献和研究进行全面审查的证据支持。它引用了一些参考文献来支持其主张，但并未提供对这些文献的详细分析和评估。这使得读者难以判断这些引用是否具有足够的可靠性和权威性。</w:t>
      </w:r>
    </w:p>
    <w:p>
      <w:pPr>
        <w:jc w:val="both"/>
      </w:pPr>
      <w:r>
        <w:rPr/>
        <w:t xml:space="preserve"/>
      </w:r>
    </w:p>
    <w:p>
      <w:pPr>
        <w:jc w:val="both"/>
      </w:pPr>
      <w:r>
        <w:rPr/>
        <w:t xml:space="preserve">综上所述，这篇文章存在一些潜在的偏见和不足之处。它缺乏充分的数据支持、未探讨可能存在的风险、未平等地呈现双方观点，并且缺乏对相关文献的全面审查。因此，读者应该对其中提出的主张保持谨慎，并寻找更多可靠的证据来支持决策和实践。</w:t>
      </w:r>
    </w:p>
    <w:p>
      <w:pPr>
        <w:pStyle w:val="Heading1"/>
      </w:pPr>
      <w:bookmarkStart w:id="5" w:name="_Toc5"/>
      <w:r>
        <w:t>Topics for further research:</w:t>
      </w:r>
      <w:bookmarkEnd w:id="5"/>
    </w:p>
    <w:p>
      <w:pPr>
        <w:spacing w:after="0"/>
        <w:numPr>
          <w:ilvl w:val="0"/>
          <w:numId w:val="2"/>
        </w:numPr>
      </w:pPr>
      <w:r>
        <w:rPr/>
        <w:t xml:space="preserve">COVID-19患者持续肾脏替代治疗的抗凝治疗风险
</w:t>
      </w:r>
    </w:p>
    <w:p>
      <w:pPr>
        <w:spacing w:after="0"/>
        <w:numPr>
          <w:ilvl w:val="0"/>
          <w:numId w:val="2"/>
        </w:numPr>
      </w:pPr>
      <w:r>
        <w:rPr/>
        <w:t xml:space="preserve">抗凝治疗可能导致的副作用和不良反应
</w:t>
      </w:r>
    </w:p>
    <w:p>
      <w:pPr>
        <w:spacing w:after="0"/>
        <w:numPr>
          <w:ilvl w:val="0"/>
          <w:numId w:val="2"/>
        </w:numPr>
      </w:pPr>
      <w:r>
        <w:rPr/>
        <w:t xml:space="preserve">是否存在其他替代方法来维持体外循环通畅
</w:t>
      </w:r>
    </w:p>
    <w:p>
      <w:pPr>
        <w:spacing w:after="0"/>
        <w:numPr>
          <w:ilvl w:val="0"/>
          <w:numId w:val="2"/>
        </w:numPr>
      </w:pPr>
      <w:r>
        <w:rPr/>
        <w:t xml:space="preserve">抗凝治疗对COVID-19患者的可行性和有效性
</w:t>
      </w:r>
    </w:p>
    <w:p>
      <w:pPr>
        <w:spacing w:after="0"/>
        <w:numPr>
          <w:ilvl w:val="0"/>
          <w:numId w:val="2"/>
        </w:numPr>
      </w:pPr>
      <w:r>
        <w:rPr/>
        <w:t xml:space="preserve">相关文献和研究对抗凝治疗的支持和评估
</w:t>
      </w:r>
    </w:p>
    <w:p>
      <w:pPr>
        <w:numPr>
          <w:ilvl w:val="0"/>
          <w:numId w:val="2"/>
        </w:numPr>
      </w:pPr>
      <w:r>
        <w:rPr/>
        <w:t xml:space="preserve">抗凝治疗在COVID-19患者中的最佳实践和决策依据</w:t>
      </w:r>
    </w:p>
    <w:p>
      <w:pPr>
        <w:pStyle w:val="Heading1"/>
      </w:pPr>
      <w:bookmarkStart w:id="6" w:name="_Toc6"/>
      <w:r>
        <w:t>Report location:</w:t>
      </w:r>
      <w:bookmarkEnd w:id="6"/>
    </w:p>
    <w:p>
      <w:hyperlink r:id="rId8" w:history="1">
        <w:r>
          <w:rPr>
            <w:color w:val="2980b9"/>
            <w:u w:val="single"/>
          </w:rPr>
          <w:t xml:space="preserve">https://www.fullpicture.app/item/5eb9d87b659f6aea915f712030e66941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7F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72825/" TargetMode="External"/><Relationship Id="rId8" Type="http://schemas.openxmlformats.org/officeDocument/2006/relationships/hyperlink" Target="https://www.fullpicture.app/item/5eb9d87b659f6aea915f712030e669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2024-04-16T07:17:36+02:00</dcterms:created>
  <dcterms:modified xsi:type="dcterms:W3CDTF">2024-04-16T07:17:36+02:00</dcterms:modified>
</cp:coreProperties>
</file>

<file path=docProps/custom.xml><?xml version="1.0" encoding="utf-8"?>
<Properties xmlns="http://schemas.openxmlformats.org/officeDocument/2006/custom-properties" xmlns:vt="http://schemas.openxmlformats.org/officeDocument/2006/docPropsVTypes"/>
</file>