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Bio-Persistence of Reversible Inflammatory, Histological Changes and Metabolic Profile Alterations in Rat Livers after Silver/Gold Nanorod Administration - PMC</w:t>
      </w:r>
      <w:br/>
      <w:hyperlink r:id="rId7" w:history="1">
        <w:r>
          <w:rPr>
            <w:color w:val="2980b9"/>
            <w:u w:val="single"/>
          </w:rPr>
          <w:t xml:space="preserve">https://www.ncbi.nlm.nih.gov/pmc/articles/PMC8538332/</w:t>
        </w:r>
      </w:hyperlink>
    </w:p>
    <w:p>
      <w:pPr>
        <w:pStyle w:val="Heading1"/>
      </w:pPr>
      <w:bookmarkStart w:id="2" w:name="_Toc2"/>
      <w:r>
        <w:t>Article summary:</w:t>
      </w:r>
      <w:bookmarkEnd w:id="2"/>
    </w:p>
    <w:p>
      <w:pPr>
        <w:jc w:val="both"/>
      </w:pPr>
      <w:r>
        <w:rPr/>
        <w:t xml:space="preserve">1. This study explored the long-term toxicity and reversibility of silver nanomaterials (AgNMs) in rat livers after an intravenous injection of silver nanorods with golden cores (Au@AgNRs).</w:t>
      </w:r>
    </w:p>
    <w:p>
      <w:pPr>
        <w:jc w:val="both"/>
      </w:pPr>
      <w:r>
        <w:rPr/>
        <w:t xml:space="preserve">2. After administration, Ag was found to be rapidly cleared from blood within 10 min and mainly accumulated in liver as well as spleen until 8 weeks.</w:t>
      </w:r>
    </w:p>
    <w:p>
      <w:pPr>
        <w:jc w:val="both"/>
      </w:pPr>
      <w:r>
        <w:rPr/>
        <w:t xml:space="preserve">3. Results indicated that acute bioeffects elicited by AgNMs could be followed by adaptive recovery after a lengthy period, providing a novel and valuable toxicity mechanism of AgNMs for potential biomedical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Bio-Persistence of Reversible Inflammatory, Histological Changes and Metabolic Profile Alterations in Rat Livers after Silver/Gold Nanorod Administration” is a comprehensive study on the long-term toxicity and reversibility of silver nanomaterials (AgNMs) in rat livers after an intravenous injection of silver nanorods with golden cores (Au@AgNRs). The authors have provided detailed information on the preparation and characterization of gold nanorods (AuNRs) and gold core/silver shell nanorods (Au@Ag NRs), animal experiment protocols, sample collection methods, hematological examination, biochemical assay of serum, histopathology analysis, ultrastructural analysis, metabolomics analysis etc., which makes the article reliable.</w:t>
      </w:r>
    </w:p>
    <w:p>
      <w:pPr>
        <w:jc w:val="both"/>
      </w:pPr>
      <w:r>
        <w:rPr/>
        <w:t xml:space="preserve">However, there are some points that need to be considered for further evaluation. Firstly, the authors have not mentioned any potential risks associated with Au@Ag NRs administration such as genotoxicity or immunotoxicity which may lead to adverse health effects. Secondly, the authors have not discussed any possible counterarguments or alternative explanations for their findings which could provide more insights into their results. Thirdly, it is unclear whether the authors have taken into account any potential biases or confounding factors while conducting their experiments which could affect their results. Finally, it is also unclear whether the authors have presented both sides equally while discussing their findings or if they are biased towards one side only.</w:t>
      </w:r>
    </w:p>
    <w:p>
      <w:pPr>
        <w:jc w:val="both"/>
      </w:pPr>
      <w:r>
        <w:rPr/>
        <w:t xml:space="preserve">In conclusion, this article provides a comprehensive overview on the long-term toxicity and reversibility of silver nanomaterials (AgNMs) in rat livers after an intravenous injection of silver nanorods with golden cores (Au@AgNRs). However, there are some points that need to be considered</w:t>
      </w:r>
    </w:p>
    <w:p>
      <w:pPr>
        <w:pStyle w:val="Heading1"/>
      </w:pPr>
      <w:bookmarkStart w:id="5" w:name="_Toc5"/>
      <w:r>
        <w:t>Topics for further research:</w:t>
      </w:r>
      <w:bookmarkEnd w:id="5"/>
    </w:p>
    <w:p>
      <w:pPr>
        <w:spacing w:after="0"/>
        <w:numPr>
          <w:ilvl w:val="0"/>
          <w:numId w:val="2"/>
        </w:numPr>
      </w:pPr>
      <w:r>
        <w:rPr/>
        <w:t xml:space="preserve">Genotoxicity of silver nanomaterials</w:t>
      </w:r>
    </w:p>
    <w:p>
      <w:pPr>
        <w:spacing w:after="0"/>
        <w:numPr>
          <w:ilvl w:val="0"/>
          <w:numId w:val="2"/>
        </w:numPr>
      </w:pPr>
      <w:r>
        <w:rPr/>
        <w:t xml:space="preserve">Immunotoxicity of silver nanomaterials</w:t>
      </w:r>
    </w:p>
    <w:p>
      <w:pPr>
        <w:spacing w:after="0"/>
        <w:numPr>
          <w:ilvl w:val="0"/>
          <w:numId w:val="2"/>
        </w:numPr>
      </w:pPr>
      <w:r>
        <w:rPr/>
        <w:t xml:space="preserve">Confounding factors in nanomaterial toxicity studies</w:t>
      </w:r>
    </w:p>
    <w:p>
      <w:pPr>
        <w:spacing w:after="0"/>
        <w:numPr>
          <w:ilvl w:val="0"/>
          <w:numId w:val="2"/>
        </w:numPr>
      </w:pPr>
      <w:r>
        <w:rPr/>
        <w:t xml:space="preserve">Biases in nanomaterial toxicity studies</w:t>
      </w:r>
    </w:p>
    <w:p>
      <w:pPr>
        <w:spacing w:after="0"/>
        <w:numPr>
          <w:ilvl w:val="0"/>
          <w:numId w:val="2"/>
        </w:numPr>
      </w:pPr>
      <w:r>
        <w:rPr/>
        <w:t xml:space="preserve">Alternative explanations for nanomaterial toxicity</w:t>
      </w:r>
    </w:p>
    <w:p>
      <w:pPr>
        <w:numPr>
          <w:ilvl w:val="0"/>
          <w:numId w:val="2"/>
        </w:numPr>
      </w:pPr>
      <w:r>
        <w:rPr/>
        <w:t xml:space="preserve">Counterarguments for nanomaterial toxicity</w:t>
      </w:r>
    </w:p>
    <w:p>
      <w:pPr>
        <w:pStyle w:val="Heading1"/>
      </w:pPr>
      <w:bookmarkStart w:id="6" w:name="_Toc6"/>
      <w:r>
        <w:t>Report location:</w:t>
      </w:r>
      <w:bookmarkEnd w:id="6"/>
    </w:p>
    <w:p>
      <w:hyperlink r:id="rId8" w:history="1">
        <w:r>
          <w:rPr>
            <w:color w:val="2980b9"/>
            <w:u w:val="single"/>
          </w:rPr>
          <w:t xml:space="preserve">https://www.fullpicture.app/item/5f44d96d41435d0a59e7e0deb3f4673a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57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38332/" TargetMode="External"/><Relationship Id="rId8" Type="http://schemas.openxmlformats.org/officeDocument/2006/relationships/hyperlink" Target="https://www.fullpicture.app/item/5f44d96d41435d0a59e7e0deb3f467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2023-03-05T17:15:56+01:00</dcterms:created>
  <dcterms:modified xsi:type="dcterms:W3CDTF">2023-03-05T17:15:56+01:00</dcterms:modified>
</cp:coreProperties>
</file>

<file path=docProps/custom.xml><?xml version="1.0" encoding="utf-8"?>
<Properties xmlns="http://schemas.openxmlformats.org/officeDocument/2006/custom-properties" xmlns:vt="http://schemas.openxmlformats.org/officeDocument/2006/docPropsVTypes"/>
</file>