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risk and dividend policy: Evidence from China - ScienceDirect</w:t>
      </w:r>
      <w:br/>
      <w:hyperlink r:id="rId7" w:history="1">
        <w:r>
          <w:rPr>
            <w:color w:val="2980b9"/>
            <w:u w:val="single"/>
          </w:rPr>
          <w:t xml:space="preserve">https://www.sciencedirect.com/science/article/abs/pii/S1057521922003106</w:t>
        </w:r>
      </w:hyperlink>
    </w:p>
    <w:p>
      <w:pPr>
        <w:pStyle w:val="Heading1"/>
      </w:pPr>
      <w:bookmarkStart w:id="2" w:name="_Toc2"/>
      <w:r>
        <w:t>Article summary:</w:t>
      </w:r>
      <w:bookmarkEnd w:id="2"/>
    </w:p>
    <w:p>
      <w:pPr>
        <w:jc w:val="both"/>
      </w:pPr>
      <w:r>
        <w:rPr/>
        <w:t xml:space="preserve">1. Carbon risk has a significant impact on firms' operating and financial activities, including dividend policies.</w:t>
      </w:r>
    </w:p>
    <w:p>
      <w:pPr>
        <w:jc w:val="both"/>
      </w:pPr>
      <w:r>
        <w:rPr/>
        <w:t xml:space="preserve">2. Firms with heavy consumption of fossil fuels and emissions are more likely to face carbon risks, mainly characterized as physical, regulatory, and reputation risk.</w:t>
      </w:r>
    </w:p>
    <w:p>
      <w:pPr>
        <w:jc w:val="both"/>
      </w:pPr>
      <w:r>
        <w:rPr/>
        <w:t xml:space="preserve">3. The negative impact of carbon risk on cash dividend payouts is more significant when the earnings of firms are more uncertain, the innovation level of firms is high, and firms are in high-carbon industries. Financing constraints and cash holdings are two underlying channels through which carbon risk affects the level of cash dividend payouts.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该文章是一篇关于中国企业碳风险与股息政策的研究，主要探讨了碳排放对企业财务和经营活动的影响以及其对股息政策的影响。文章提出了一些有价值的观点和结论，但也存在一些潜在偏见和不足之处。</w:t>
      </w:r>
    </w:p>
    <w:p>
      <w:pPr>
        <w:jc w:val="both"/>
      </w:pPr>
      <w:r>
        <w:rPr/>
        <w:t xml:space="preserve"/>
      </w:r>
    </w:p>
    <w:p>
      <w:pPr>
        <w:jc w:val="both"/>
      </w:pPr>
      <w:r>
        <w:rPr/>
        <w:t xml:space="preserve">首先，文章没有充分考虑到碳排放对环境和社会的影响。虽然文章提到了碳排放可能导致环境问题和声誉损失等财务后果，但并没有深入探讨其对生态系统、人类健康和社会稳定等方面的影响。这种片面报道可能会导致读者忽略了碳排放所带来的更广泛的风险。</w:t>
      </w:r>
    </w:p>
    <w:p>
      <w:pPr>
        <w:jc w:val="both"/>
      </w:pPr>
      <w:r>
        <w:rPr/>
        <w:t xml:space="preserve"/>
      </w:r>
    </w:p>
    <w:p>
      <w:pPr>
        <w:jc w:val="both"/>
      </w:pPr>
      <w:r>
        <w:rPr/>
        <w:t xml:space="preserve">其次，文章没有充分考虑到其他因素对企业股息政策的影响。尽管文章提到了国家文化、外部融资条件和宗教信仰等因素可能会影响企业股息政策，但并没有深入探讨这些因素与碳风险之间的交互作用。这种缺失可能导致读者无法全面理解企业股息政策制定背后的复杂机制。</w:t>
      </w:r>
    </w:p>
    <w:p>
      <w:pPr>
        <w:jc w:val="both"/>
      </w:pPr>
      <w:r>
        <w:rPr/>
        <w:t xml:space="preserve"/>
      </w:r>
    </w:p>
    <w:p>
      <w:pPr>
        <w:jc w:val="both"/>
      </w:pPr>
      <w:r>
        <w:rPr/>
        <w:t xml:space="preserve">此外，文章提出了一些主张，如“碳风险对现金股息支付水平有负面影响”，但未能提供足够证据来支持这些主张。例如，在介绍研究结果时，并未详细说明如何测量“现金股息支付水平”或如何确定“创新水平高”的公司。这种缺乏具体数据支持或方法论基础的主张可能会引起读者怀疑其可靠性。</w:t>
      </w:r>
    </w:p>
    <w:p>
      <w:pPr>
        <w:jc w:val="both"/>
      </w:pPr>
      <w:r>
        <w:rPr/>
        <w:t xml:space="preserve"/>
      </w:r>
    </w:p>
    <w:p>
      <w:pPr>
        <w:jc w:val="both"/>
      </w:pPr>
      <w:r>
        <w:rPr/>
        <w:t xml:space="preserve">最后，文章似乎过于强调了低碳城市试点政策作为自然实验来验证研究结论的有效性。虽然该政策确实为研究提供了一个自然实验场景，但作者并未充分考虑其他潜在变量（如地区差异、行业差异等）对结果产生干扰或误差的可能性。此外，在使用自然实验验证结论时，还需要注意样本大小、时间跨度等问题。</w:t>
      </w:r>
    </w:p>
    <w:p>
      <w:pPr>
        <w:jc w:val="both"/>
      </w:pPr>
      <w:r>
        <w:rPr/>
        <w:t xml:space="preserve"/>
      </w:r>
    </w:p>
    <w:p>
      <w:pPr>
        <w:jc w:val="both"/>
      </w:pPr>
      <w:r>
        <w:rPr/>
        <w:t xml:space="preserve">总之，尽管该文章提出了一些有价值的观点和结论，并且采用了合理方法进行数据分析，但也存在一些潜在偏见和不足之处。为使研究更加客观、准确地反映现实情况，并为相关利益相关方提供更好服务建议作者应进一步完善其方法学设计、数据来源及处理方式以及结果呈现方式等方面内容。</w:t>
      </w:r>
    </w:p>
    <w:p>
      <w:pPr>
        <w:pStyle w:val="Heading1"/>
      </w:pPr>
      <w:bookmarkStart w:id="5" w:name="_Toc5"/>
      <w:r>
        <w:t>Topics for further research:</w:t>
      </w:r>
      <w:bookmarkEnd w:id="5"/>
    </w:p>
    <w:p>
      <w:pPr>
        <w:spacing w:after="0"/>
        <w:numPr>
          <w:ilvl w:val="0"/>
          <w:numId w:val="2"/>
        </w:numPr>
      </w:pPr>
      <w:r>
        <w:rPr/>
        <w:t xml:space="preserve">环境和社会影响
</w:t>
      </w:r>
    </w:p>
    <w:p>
      <w:pPr>
        <w:spacing w:after="0"/>
        <w:numPr>
          <w:ilvl w:val="0"/>
          <w:numId w:val="2"/>
        </w:numPr>
      </w:pPr>
      <w:r>
        <w:rPr/>
        <w:t xml:space="preserve">其他因素对股息政策的影响
</w:t>
      </w:r>
    </w:p>
    <w:p>
      <w:pPr>
        <w:spacing w:after="0"/>
        <w:numPr>
          <w:ilvl w:val="0"/>
          <w:numId w:val="2"/>
        </w:numPr>
      </w:pPr>
      <w:r>
        <w:rPr/>
        <w:t xml:space="preserve">缺乏具体数据支持或方法论基础的主张
</w:t>
      </w:r>
    </w:p>
    <w:p>
      <w:pPr>
        <w:spacing w:after="0"/>
        <w:numPr>
          <w:ilvl w:val="0"/>
          <w:numId w:val="2"/>
        </w:numPr>
      </w:pPr>
      <w:r>
        <w:rPr/>
        <w:t xml:space="preserve">其他潜在变量对结果产生干扰或误差的可能性
</w:t>
      </w:r>
    </w:p>
    <w:p>
      <w:pPr>
        <w:spacing w:after="0"/>
        <w:numPr>
          <w:ilvl w:val="0"/>
          <w:numId w:val="2"/>
        </w:numPr>
      </w:pPr>
      <w:r>
        <w:rPr/>
        <w:t xml:space="preserve">样本大小、时间跨度等问题
</w:t>
      </w:r>
    </w:p>
    <w:p>
      <w:pPr>
        <w:numPr>
          <w:ilvl w:val="0"/>
          <w:numId w:val="2"/>
        </w:numPr>
      </w:pPr>
      <w:r>
        <w:rPr/>
        <w:t xml:space="preserve">完善方法学设计、数据来源及处理方式以及结果呈现方式</w:t>
      </w:r>
    </w:p>
    <w:p>
      <w:pPr>
        <w:pStyle w:val="Heading1"/>
      </w:pPr>
      <w:bookmarkStart w:id="6" w:name="_Toc6"/>
      <w:r>
        <w:t>Report location:</w:t>
      </w:r>
      <w:bookmarkEnd w:id="6"/>
    </w:p>
    <w:p>
      <w:hyperlink r:id="rId8" w:history="1">
        <w:r>
          <w:rPr>
            <w:color w:val="2980b9"/>
            <w:u w:val="single"/>
          </w:rPr>
          <w:t xml:space="preserve">https://www.fullpicture.app/item/5fa63d9472baceb47d7f64ae1667d55b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2BD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57521922003106" TargetMode="External"/><Relationship Id="rId8" Type="http://schemas.openxmlformats.org/officeDocument/2006/relationships/hyperlink" Target="https://www.fullpicture.app/item/5fa63d9472baceb47d7f64ae1667d5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2024-01-03T21:45:41+01:00</dcterms:created>
  <dcterms:modified xsi:type="dcterms:W3CDTF">2024-01-03T21:45:41+01:00</dcterms:modified>
</cp:coreProperties>
</file>

<file path=docProps/custom.xml><?xml version="1.0" encoding="utf-8"?>
<Properties xmlns="http://schemas.openxmlformats.org/officeDocument/2006/custom-properties" xmlns:vt="http://schemas.openxmlformats.org/officeDocument/2006/docPropsVTypes"/>
</file>